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E3E" w:rsidRPr="00AC434D" w:rsidRDefault="00945E3E">
      <w:pPr>
        <w:rPr>
          <w:b/>
          <w:sz w:val="32"/>
          <w:szCs w:val="32"/>
        </w:rPr>
      </w:pPr>
      <w:r w:rsidRPr="00AC434D">
        <w:rPr>
          <w:b/>
          <w:sz w:val="32"/>
          <w:szCs w:val="32"/>
        </w:rPr>
        <w:t xml:space="preserve">Teaching and Learning </w:t>
      </w:r>
      <w:r w:rsidR="00F420F6">
        <w:rPr>
          <w:b/>
          <w:sz w:val="32"/>
          <w:szCs w:val="32"/>
        </w:rPr>
        <w:t>Initiative</w:t>
      </w:r>
      <w:r w:rsidRPr="00AC434D">
        <w:rPr>
          <w:b/>
          <w:sz w:val="32"/>
          <w:szCs w:val="32"/>
        </w:rPr>
        <w:t xml:space="preserve"> Plan 2012 -2017</w:t>
      </w:r>
    </w:p>
    <w:p w:rsidR="00C96690" w:rsidRPr="00A97608" w:rsidRDefault="00DD6489">
      <w:pPr>
        <w:rPr>
          <w:sz w:val="20"/>
          <w:szCs w:val="20"/>
        </w:rPr>
      </w:pPr>
      <w:r>
        <w:rPr>
          <w:sz w:val="20"/>
          <w:szCs w:val="20"/>
        </w:rPr>
        <w:t xml:space="preserve">FINAL </w:t>
      </w:r>
      <w:r w:rsidR="00F420F6" w:rsidRPr="00A97608">
        <w:rPr>
          <w:sz w:val="20"/>
          <w:szCs w:val="20"/>
        </w:rPr>
        <w:t>D</w:t>
      </w:r>
      <w:r>
        <w:rPr>
          <w:sz w:val="20"/>
          <w:szCs w:val="20"/>
        </w:rPr>
        <w:t>RAFT</w:t>
      </w:r>
      <w:r w:rsidR="00BA2BB1" w:rsidRPr="00A97608">
        <w:rPr>
          <w:sz w:val="20"/>
          <w:szCs w:val="20"/>
        </w:rPr>
        <w:t xml:space="preserve"> based upon input from faculty and the Teaching and Learning Committee </w:t>
      </w:r>
    </w:p>
    <w:p w:rsidR="00152CBC" w:rsidRDefault="00152CBC"/>
    <w:p w:rsidR="00152CBC" w:rsidRPr="00F420F6" w:rsidRDefault="00A85D20">
      <w:pPr>
        <w:rPr>
          <w:b/>
          <w:sz w:val="28"/>
          <w:szCs w:val="28"/>
        </w:rPr>
      </w:pPr>
      <w:r>
        <w:rPr>
          <w:b/>
          <w:sz w:val="28"/>
          <w:szCs w:val="28"/>
        </w:rPr>
        <w:t>Introduction</w:t>
      </w:r>
    </w:p>
    <w:p w:rsidR="00152CBC" w:rsidRDefault="00F420F6" w:rsidP="00D84953">
      <w:r>
        <w:t xml:space="preserve">The Teaching and Learning Initiative Plan sustains and builds upon the goals and accomplishments of the Woksape Oyate grant </w:t>
      </w:r>
      <w:r w:rsidR="00D437AD">
        <w:t xml:space="preserve">which </w:t>
      </w:r>
      <w:r>
        <w:t xml:space="preserve">funded </w:t>
      </w:r>
      <w:r w:rsidR="00D437AD">
        <w:t xml:space="preserve">the </w:t>
      </w:r>
      <w:r>
        <w:t>Te</w:t>
      </w:r>
      <w:r w:rsidR="00D437AD">
        <w:t>aching and Learning Initiative from 2007 through June 2012</w:t>
      </w:r>
      <w:r>
        <w:t>. I</w:t>
      </w:r>
      <w:r w:rsidR="005C3B06">
        <w:t>n</w:t>
      </w:r>
      <w:r w:rsidR="00D437AD">
        <w:t xml:space="preserve"> addition, this plan</w:t>
      </w:r>
      <w:r>
        <w:t xml:space="preserve"> supports and aligns with the </w:t>
      </w:r>
      <w:r w:rsidR="00AF4F16">
        <w:t xml:space="preserve">NWIC </w:t>
      </w:r>
      <w:r>
        <w:t>Assessment Plan (2012-2017),</w:t>
      </w:r>
      <w:r w:rsidR="005A16A1">
        <w:t xml:space="preserve"> the Achieving the Dream Implementation Plan (2012-2016),</w:t>
      </w:r>
      <w:r>
        <w:t xml:space="preserve"> the Strategic Plan </w:t>
      </w:r>
      <w:r w:rsidR="005A16A1">
        <w:t xml:space="preserve">and Core Themes </w:t>
      </w:r>
      <w:r>
        <w:t>(2010-2017)</w:t>
      </w:r>
      <w:r w:rsidR="005A16A1">
        <w:t>,</w:t>
      </w:r>
      <w:r>
        <w:t xml:space="preserve"> and </w:t>
      </w:r>
      <w:r w:rsidR="00D437AD">
        <w:t xml:space="preserve">other </w:t>
      </w:r>
      <w:r w:rsidR="00AF4F16">
        <w:t>faculty initiatives, such as</w:t>
      </w:r>
      <w:r w:rsidR="00D437AD">
        <w:t xml:space="preserve"> faculty inquiry groups (FIGs). The Plan </w:t>
      </w:r>
      <w:r w:rsidR="00AF4F16">
        <w:t xml:space="preserve">is guided by </w:t>
      </w:r>
      <w:r>
        <w:t xml:space="preserve">the foundational principles articulated in </w:t>
      </w:r>
      <w:r w:rsidR="00AF4F16">
        <w:t xml:space="preserve">the </w:t>
      </w:r>
      <w:r w:rsidR="00D437AD">
        <w:t xml:space="preserve">program </w:t>
      </w:r>
      <w:r w:rsidR="00F12D15">
        <w:t xml:space="preserve">outcomes for </w:t>
      </w:r>
      <w:r>
        <w:t xml:space="preserve">the Bachelor of Arts in Native Studies Leadership. </w:t>
      </w:r>
    </w:p>
    <w:p w:rsidR="00D84953" w:rsidRDefault="00D84953" w:rsidP="00D84953"/>
    <w:p w:rsidR="00152CBC" w:rsidRDefault="00434A79" w:rsidP="00D84953">
      <w:r>
        <w:t xml:space="preserve">The </w:t>
      </w:r>
      <w:r w:rsidR="00653C33">
        <w:t>overarching</w:t>
      </w:r>
      <w:r>
        <w:t xml:space="preserve"> goal of the</w:t>
      </w:r>
      <w:r w:rsidR="00F12D15">
        <w:t xml:space="preserve"> </w:t>
      </w:r>
      <w:r>
        <w:t xml:space="preserve">Teaching and Learning Initiative (TLI) is to </w:t>
      </w:r>
      <w:r w:rsidR="005C3B06">
        <w:t>increase</w:t>
      </w:r>
      <w:r>
        <w:t xml:space="preserve"> </w:t>
      </w:r>
      <w:r w:rsidR="005A16A1">
        <w:t xml:space="preserve">student success </w:t>
      </w:r>
      <w:r w:rsidR="00F12D15">
        <w:t xml:space="preserve">by </w:t>
      </w:r>
      <w:r w:rsidR="005C3B06">
        <w:t xml:space="preserve">building faculty capacity </w:t>
      </w:r>
      <w:r w:rsidR="00AF4F16">
        <w:t>in teaching</w:t>
      </w:r>
      <w:r w:rsidR="00F12D15">
        <w:t xml:space="preserve"> and learning at Northwest Indian College</w:t>
      </w:r>
      <w:r w:rsidR="00AF4C12">
        <w:t>.</w:t>
      </w:r>
      <w:r w:rsidR="00F12D15">
        <w:t xml:space="preserve"> </w:t>
      </w:r>
      <w:r w:rsidR="005C3B06">
        <w:t xml:space="preserve">Much of the focus of the </w:t>
      </w:r>
      <w:r w:rsidR="00F12D15">
        <w:t xml:space="preserve">TLI </w:t>
      </w:r>
      <w:r w:rsidR="005C3B06">
        <w:t xml:space="preserve">is </w:t>
      </w:r>
      <w:r w:rsidR="00AF4C12">
        <w:t xml:space="preserve">based </w:t>
      </w:r>
      <w:r>
        <w:t xml:space="preserve">upon a </w:t>
      </w:r>
      <w:r w:rsidR="00D437AD">
        <w:t xml:space="preserve">coherent </w:t>
      </w:r>
      <w:r>
        <w:t>model for the design, delivery and assessment of educational programs</w:t>
      </w:r>
      <w:r w:rsidR="005C3B06">
        <w:t xml:space="preserve">, </w:t>
      </w:r>
      <w:r>
        <w:t>courses</w:t>
      </w:r>
      <w:r w:rsidR="005C3B06">
        <w:t>, and course content</w:t>
      </w:r>
      <w:r>
        <w:t xml:space="preserve">. In this model, the vision of the ancestors and the vast body of knowledge </w:t>
      </w:r>
      <w:r w:rsidR="005D7A28">
        <w:t>accessed through</w:t>
      </w:r>
      <w:r>
        <w:t xml:space="preserve"> language </w:t>
      </w:r>
      <w:r w:rsidR="005C3B06">
        <w:t>are the foundation</w:t>
      </w:r>
      <w:r w:rsidR="00AF4C12">
        <w:t xml:space="preserve"> for</w:t>
      </w:r>
      <w:r>
        <w:t xml:space="preserve"> the development, deliver</w:t>
      </w:r>
      <w:r w:rsidR="00AF4C12">
        <w:t>y</w:t>
      </w:r>
      <w:r>
        <w:t xml:space="preserve"> and assessment of </w:t>
      </w:r>
      <w:r w:rsidR="00AF4F16">
        <w:t xml:space="preserve">the educational </w:t>
      </w:r>
      <w:r>
        <w:t>programs, course</w:t>
      </w:r>
      <w:r w:rsidR="00AF4C12">
        <w:t>s,</w:t>
      </w:r>
      <w:r>
        <w:t xml:space="preserve"> and </w:t>
      </w:r>
      <w:r w:rsidR="005C3B06">
        <w:t>course content</w:t>
      </w:r>
      <w:r w:rsidR="00AF4F16">
        <w:t xml:space="preserve"> at NWIC</w:t>
      </w:r>
      <w:r w:rsidR="00AF4C12">
        <w:t>. The</w:t>
      </w:r>
      <w:r>
        <w:t xml:space="preserve"> foundational principles of sovereignty and indigenousness inform </w:t>
      </w:r>
      <w:r w:rsidR="00AF4C12">
        <w:t xml:space="preserve">and guide </w:t>
      </w:r>
      <w:r>
        <w:t xml:space="preserve">all </w:t>
      </w:r>
      <w:r w:rsidR="00AF4C12">
        <w:t>aspects of the design</w:t>
      </w:r>
      <w:r>
        <w:t xml:space="preserve">, delivery and assessment processes. </w:t>
      </w:r>
      <w:r w:rsidR="00AF4C12">
        <w:t xml:space="preserve">The following diagram </w:t>
      </w:r>
      <w:r w:rsidR="00CA24A5">
        <w:t>presents</w:t>
      </w:r>
      <w:r w:rsidR="00AF4C12">
        <w:t xml:space="preserve"> the relationship </w:t>
      </w:r>
      <w:r w:rsidR="00CA24A5">
        <w:t>between</w:t>
      </w:r>
      <w:r w:rsidR="00AF4C12">
        <w:t xml:space="preserve"> these levels and </w:t>
      </w:r>
      <w:r w:rsidR="00653C33">
        <w:t xml:space="preserve">the </w:t>
      </w:r>
      <w:r w:rsidR="00D437AD">
        <w:t>design, delivery and assessment at each level</w:t>
      </w:r>
      <w:r w:rsidR="00AF4C12">
        <w:t>.</w:t>
      </w:r>
    </w:p>
    <w:p w:rsidR="00AF4F16" w:rsidRDefault="00AF4F16" w:rsidP="00893974">
      <w:pPr>
        <w:ind w:firstLine="720"/>
      </w:pPr>
    </w:p>
    <w:p w:rsidR="00152CBC" w:rsidRDefault="008E5B0A" w:rsidP="00FE4F66">
      <w:pPr>
        <w:jc w:val="center"/>
      </w:pPr>
      <w:r>
        <w:rPr>
          <w:noProof/>
        </w:rPr>
        <w:drawing>
          <wp:inline distT="0" distB="0" distL="0" distR="0">
            <wp:extent cx="5104933" cy="3884093"/>
            <wp:effectExtent l="19050" t="0" r="467"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7" cstate="print"/>
                    <a:srcRect/>
                    <a:stretch>
                      <a:fillRect/>
                    </a:stretch>
                  </pic:blipFill>
                  <pic:spPr bwMode="auto">
                    <a:xfrm>
                      <a:off x="0" y="0"/>
                      <a:ext cx="5105974" cy="3884885"/>
                    </a:xfrm>
                    <a:prstGeom prst="rect">
                      <a:avLst/>
                    </a:prstGeom>
                    <a:noFill/>
                    <a:ln w="9525">
                      <a:noFill/>
                      <a:miter lim="800000"/>
                      <a:headEnd/>
                      <a:tailEnd/>
                    </a:ln>
                  </pic:spPr>
                </pic:pic>
              </a:graphicData>
            </a:graphic>
          </wp:inline>
        </w:drawing>
      </w:r>
    </w:p>
    <w:p w:rsidR="00F32C8D" w:rsidRDefault="00F32C8D">
      <w:pPr>
        <w:rPr>
          <w:b/>
          <w:sz w:val="28"/>
          <w:szCs w:val="28"/>
        </w:rPr>
      </w:pPr>
    </w:p>
    <w:p w:rsidR="00F51648" w:rsidRPr="00AD0B3D" w:rsidRDefault="00AD0B3D">
      <w:pPr>
        <w:rPr>
          <w:b/>
          <w:sz w:val="28"/>
          <w:szCs w:val="28"/>
        </w:rPr>
      </w:pPr>
      <w:r>
        <w:rPr>
          <w:b/>
          <w:sz w:val="28"/>
          <w:szCs w:val="28"/>
        </w:rPr>
        <w:t xml:space="preserve">Focus Areas </w:t>
      </w:r>
      <w:r w:rsidR="005C3B06">
        <w:rPr>
          <w:b/>
          <w:sz w:val="28"/>
          <w:szCs w:val="28"/>
        </w:rPr>
        <w:t>in</w:t>
      </w:r>
      <w:r>
        <w:rPr>
          <w:b/>
          <w:sz w:val="28"/>
          <w:szCs w:val="28"/>
        </w:rPr>
        <w:t xml:space="preserve"> the Teaching and Learning Initiative</w:t>
      </w:r>
    </w:p>
    <w:p w:rsidR="00AF4C12" w:rsidRDefault="00AF4C12" w:rsidP="00AF4C12">
      <w:r>
        <w:t xml:space="preserve">The </w:t>
      </w:r>
      <w:r w:rsidR="00AF4F16">
        <w:t xml:space="preserve">Teaching and Learning Initiative </w:t>
      </w:r>
      <w:r w:rsidR="00026F4F">
        <w:t xml:space="preserve">focuses on these </w:t>
      </w:r>
      <w:r w:rsidR="00D437AD">
        <w:t xml:space="preserve">five </w:t>
      </w:r>
      <w:r w:rsidR="00026F4F">
        <w:t>areas:</w:t>
      </w:r>
      <w:r>
        <w:t xml:space="preserve"> </w:t>
      </w:r>
    </w:p>
    <w:p w:rsidR="00C96690" w:rsidRPr="00653C33" w:rsidRDefault="00C96690" w:rsidP="00C96690">
      <w:pPr>
        <w:pStyle w:val="ListParagraph"/>
        <w:numPr>
          <w:ilvl w:val="0"/>
          <w:numId w:val="1"/>
        </w:numPr>
      </w:pPr>
      <w:r w:rsidRPr="00653C33">
        <w:t xml:space="preserve">Program </w:t>
      </w:r>
      <w:r w:rsidR="00AD0B3D" w:rsidRPr="00653C33">
        <w:t xml:space="preserve">and Course </w:t>
      </w:r>
      <w:r w:rsidRPr="00653C33">
        <w:t>Design</w:t>
      </w:r>
      <w:r w:rsidR="005D7A28">
        <w:t>,</w:t>
      </w:r>
    </w:p>
    <w:p w:rsidR="00B95438" w:rsidRPr="00653C33" w:rsidRDefault="003A11A7" w:rsidP="00945923">
      <w:pPr>
        <w:pStyle w:val="ListParagraph"/>
        <w:numPr>
          <w:ilvl w:val="0"/>
          <w:numId w:val="1"/>
        </w:numPr>
      </w:pPr>
      <w:r w:rsidRPr="00653C33">
        <w:t xml:space="preserve">Methodologies of </w:t>
      </w:r>
      <w:r w:rsidR="00C96690" w:rsidRPr="00653C33">
        <w:t xml:space="preserve">Teaching and Learning </w:t>
      </w:r>
      <w:r w:rsidR="00945923" w:rsidRPr="00653C33">
        <w:t xml:space="preserve">and Practices of </w:t>
      </w:r>
      <w:r w:rsidR="00786E95">
        <w:t>Cultural I</w:t>
      </w:r>
      <w:r w:rsidR="00945923" w:rsidRPr="00653C33">
        <w:t>ntegration</w:t>
      </w:r>
      <w:r w:rsidR="005D7A28">
        <w:t>,</w:t>
      </w:r>
    </w:p>
    <w:p w:rsidR="00C96690" w:rsidRPr="00653C33" w:rsidRDefault="00B95438" w:rsidP="00C96690">
      <w:pPr>
        <w:pStyle w:val="ListParagraph"/>
        <w:numPr>
          <w:ilvl w:val="0"/>
          <w:numId w:val="1"/>
        </w:numPr>
      </w:pPr>
      <w:r w:rsidRPr="00653C33">
        <w:t>Faculty Orientation and Mentoring</w:t>
      </w:r>
      <w:r w:rsidR="005D7A28">
        <w:t>,</w:t>
      </w:r>
    </w:p>
    <w:p w:rsidR="00AC434D" w:rsidRPr="00653C33" w:rsidRDefault="00AC434D" w:rsidP="00C96690">
      <w:pPr>
        <w:pStyle w:val="ListParagraph"/>
        <w:numPr>
          <w:ilvl w:val="0"/>
          <w:numId w:val="1"/>
        </w:numPr>
      </w:pPr>
      <w:r w:rsidRPr="00653C33">
        <w:t>Scholarship of Teaching and Learning</w:t>
      </w:r>
      <w:r w:rsidR="005D7A28">
        <w:t>,</w:t>
      </w:r>
    </w:p>
    <w:p w:rsidR="00FC50F7" w:rsidRPr="00653C33" w:rsidRDefault="00AC434D" w:rsidP="00C96690">
      <w:pPr>
        <w:pStyle w:val="ListParagraph"/>
        <w:numPr>
          <w:ilvl w:val="0"/>
          <w:numId w:val="1"/>
        </w:numPr>
      </w:pPr>
      <w:r w:rsidRPr="00653C33">
        <w:t>Professional Development</w:t>
      </w:r>
      <w:r w:rsidR="00B75410" w:rsidRPr="00653C33">
        <w:t xml:space="preserve"> </w:t>
      </w:r>
      <w:r w:rsidR="00945923" w:rsidRPr="00653C33">
        <w:t xml:space="preserve">- Advanced Study for Native </w:t>
      </w:r>
      <w:r w:rsidR="00BE7DD8" w:rsidRPr="00653C33">
        <w:t>Faculty</w:t>
      </w:r>
      <w:r w:rsidR="00945923" w:rsidRPr="00653C33">
        <w:t xml:space="preserve"> and other Professional Development</w:t>
      </w:r>
      <w:r w:rsidR="005D7A28">
        <w:t>.</w:t>
      </w:r>
    </w:p>
    <w:p w:rsidR="00AC434D" w:rsidRDefault="00FC50F7" w:rsidP="00FC50F7">
      <w:r>
        <w:br w:type="page"/>
      </w:r>
    </w:p>
    <w:p w:rsidR="00D84953" w:rsidRPr="00945923" w:rsidRDefault="00D84953" w:rsidP="00D84953">
      <w:pPr>
        <w:pStyle w:val="ListParagraph"/>
        <w:numPr>
          <w:ilvl w:val="0"/>
          <w:numId w:val="7"/>
        </w:numPr>
        <w:rPr>
          <w:b/>
        </w:rPr>
      </w:pPr>
      <w:r w:rsidRPr="00945923">
        <w:rPr>
          <w:b/>
        </w:rPr>
        <w:lastRenderedPageBreak/>
        <w:t>Program and Course Design</w:t>
      </w:r>
    </w:p>
    <w:p w:rsidR="00B91D68" w:rsidRDefault="00AD0B3D" w:rsidP="00945923">
      <w:r>
        <w:t>The activities and strategies that support the program and course design focus area consist of an initial faculty training workshop with continued faculty support and reinforcement provided by</w:t>
      </w:r>
      <w:r w:rsidR="00026F4F">
        <w:t xml:space="preserve"> </w:t>
      </w:r>
      <w:r>
        <w:t>pre-service and in-serv</w:t>
      </w:r>
      <w:r w:rsidR="00335AF5">
        <w:t>ic</w:t>
      </w:r>
      <w:r>
        <w:t xml:space="preserve">e program and course design trainings. </w:t>
      </w:r>
      <w:r w:rsidR="00034E5D">
        <w:t xml:space="preserve">The workshop material will be developed into an online training that can be used </w:t>
      </w:r>
      <w:r w:rsidR="00653C33">
        <w:t>as</w:t>
      </w:r>
      <w:r w:rsidR="00034E5D">
        <w:t xml:space="preserve"> new faculty and site-based faculty </w:t>
      </w:r>
      <w:r w:rsidR="00653C33">
        <w:t>need training</w:t>
      </w:r>
      <w:r w:rsidR="00034E5D">
        <w:t xml:space="preserve">. </w:t>
      </w:r>
      <w:r>
        <w:t xml:space="preserve">The ongoing trainings will build faculty capacity to implement the design, delivery and assessment model shown above with trainings in </w:t>
      </w:r>
      <w:r w:rsidR="00893974">
        <w:t xml:space="preserve">how to write curricula, </w:t>
      </w:r>
      <w:r>
        <w:t xml:space="preserve">outcome development and assessment, </w:t>
      </w:r>
      <w:r w:rsidR="00034E5D">
        <w:t xml:space="preserve">how to link </w:t>
      </w:r>
      <w:r w:rsidR="00653C33">
        <w:t xml:space="preserve">outcomes </w:t>
      </w:r>
      <w:r w:rsidR="00034E5D">
        <w:t xml:space="preserve">to </w:t>
      </w:r>
      <w:r>
        <w:t xml:space="preserve">methods of delivery, and </w:t>
      </w:r>
      <w:r w:rsidR="00034E5D">
        <w:t>development</w:t>
      </w:r>
      <w:r>
        <w:t xml:space="preserve"> of course content.</w:t>
      </w:r>
      <w:r w:rsidR="005C3B06">
        <w:t xml:space="preserve"> </w:t>
      </w:r>
      <w:r w:rsidR="00BA2BB1">
        <w:t>As a result of these training</w:t>
      </w:r>
      <w:r w:rsidR="00653C33">
        <w:t>s</w:t>
      </w:r>
      <w:r w:rsidR="00BA2BB1">
        <w:t xml:space="preserve"> faculty will be able to design, deliver and assess at the program, course</w:t>
      </w:r>
      <w:r w:rsidR="00034E5D">
        <w:t>,</w:t>
      </w:r>
      <w:r w:rsidR="00BA2BB1">
        <w:t xml:space="preserve"> and </w:t>
      </w:r>
      <w:r w:rsidR="00034E5D">
        <w:t xml:space="preserve">down to the individual </w:t>
      </w:r>
      <w:r w:rsidR="00653C33">
        <w:t xml:space="preserve">lesson and </w:t>
      </w:r>
      <w:r w:rsidR="00BA2BB1">
        <w:t>assignment level according to institutional level indicators.</w:t>
      </w:r>
      <w:r w:rsidR="0080289E">
        <w:t xml:space="preserve"> </w:t>
      </w:r>
      <w:r w:rsidR="00653C33">
        <w:t xml:space="preserve">The assessment aspects of these </w:t>
      </w:r>
      <w:r w:rsidR="00786E95">
        <w:t xml:space="preserve">trainings and </w:t>
      </w:r>
      <w:r w:rsidR="00653C33">
        <w:t xml:space="preserve">processes will </w:t>
      </w:r>
      <w:r w:rsidR="00786E95">
        <w:t>coordinate with the College’s Assessment Plan.</w:t>
      </w:r>
      <w:r w:rsidR="00653C33">
        <w:t xml:space="preserve"> </w:t>
      </w:r>
    </w:p>
    <w:p w:rsidR="00945923" w:rsidRDefault="00945923" w:rsidP="00945923"/>
    <w:p w:rsidR="00945923" w:rsidRPr="00945923" w:rsidRDefault="00945923" w:rsidP="00945923">
      <w:pPr>
        <w:pStyle w:val="ListParagraph"/>
        <w:numPr>
          <w:ilvl w:val="0"/>
          <w:numId w:val="7"/>
        </w:numPr>
        <w:rPr>
          <w:b/>
        </w:rPr>
      </w:pPr>
      <w:r w:rsidRPr="00945923">
        <w:rPr>
          <w:b/>
        </w:rPr>
        <w:t xml:space="preserve">Methodologies of Teaching and Learning </w:t>
      </w:r>
      <w:r>
        <w:rPr>
          <w:b/>
        </w:rPr>
        <w:t>and</w:t>
      </w:r>
      <w:r w:rsidRPr="00945923">
        <w:rPr>
          <w:b/>
        </w:rPr>
        <w:t xml:space="preserve"> </w:t>
      </w:r>
      <w:r>
        <w:rPr>
          <w:b/>
        </w:rPr>
        <w:t xml:space="preserve">Practices of </w:t>
      </w:r>
      <w:r w:rsidR="00786E95">
        <w:rPr>
          <w:b/>
        </w:rPr>
        <w:t>Cultural I</w:t>
      </w:r>
      <w:r w:rsidRPr="00945923">
        <w:rPr>
          <w:b/>
        </w:rPr>
        <w:t>ntegration</w:t>
      </w:r>
    </w:p>
    <w:p w:rsidR="006B5E26" w:rsidRDefault="00BA2BB1" w:rsidP="006B5E26">
      <w:r>
        <w:t>The second area focuses on supporting faculty development of the methodologies of teaching and learning</w:t>
      </w:r>
      <w:r w:rsidR="0080289E">
        <w:t xml:space="preserve"> and practices of cultural integration, which builds</w:t>
      </w:r>
      <w:r>
        <w:t xml:space="preserve"> faculty capacity to support </w:t>
      </w:r>
      <w:r w:rsidR="003471D7">
        <w:t xml:space="preserve">and align with the College’s mission and core themes. The </w:t>
      </w:r>
      <w:r w:rsidR="0080289E">
        <w:t xml:space="preserve">activities and </w:t>
      </w:r>
      <w:r w:rsidR="003471D7">
        <w:t xml:space="preserve">strategies used to build faculty capacity </w:t>
      </w:r>
      <w:r w:rsidR="00034E5D">
        <w:t xml:space="preserve">in this area </w:t>
      </w:r>
      <w:r w:rsidR="003471D7">
        <w:t>include</w:t>
      </w:r>
      <w:r w:rsidR="00794E93">
        <w:t>: action research projects;</w:t>
      </w:r>
      <w:r w:rsidR="003471D7">
        <w:t xml:space="preserve"> </w:t>
      </w:r>
      <w:r w:rsidR="00794E93">
        <w:t xml:space="preserve">individual studies projects in teaching and learning, which are similar to action research projects but </w:t>
      </w:r>
      <w:r w:rsidR="006B5598">
        <w:t>have</w:t>
      </w:r>
      <w:r w:rsidR="00794E93">
        <w:t xml:space="preserve"> greater flexibility in their goals and methods; </w:t>
      </w:r>
      <w:r w:rsidR="003471D7">
        <w:t xml:space="preserve">development, </w:t>
      </w:r>
      <w:r w:rsidR="0080289E">
        <w:t>updating</w:t>
      </w:r>
      <w:r w:rsidR="003471D7">
        <w:t xml:space="preserve"> </w:t>
      </w:r>
      <w:r w:rsidR="00794E93">
        <w:t>and use of the teaching toolkit;</w:t>
      </w:r>
      <w:r w:rsidR="003471D7">
        <w:t xml:space="preserve"> in-service</w:t>
      </w:r>
      <w:r w:rsidR="00034E5D">
        <w:t xml:space="preserve"> activities</w:t>
      </w:r>
      <w:r w:rsidR="003471D7">
        <w:t xml:space="preserve"> focused on </w:t>
      </w:r>
      <w:r w:rsidR="00034E5D">
        <w:t xml:space="preserve">teaching </w:t>
      </w:r>
      <w:r w:rsidR="00794E93">
        <w:t>methodologies;</w:t>
      </w:r>
      <w:r w:rsidR="003471D7">
        <w:t xml:space="preserve"> and the </w:t>
      </w:r>
      <w:r w:rsidR="00504280">
        <w:t xml:space="preserve">annual </w:t>
      </w:r>
      <w:r w:rsidR="003471D7">
        <w:t>Teaching and Learning Institute. As a result of these activities and strategies</w:t>
      </w:r>
      <w:r w:rsidR="00034E5D">
        <w:t>,</w:t>
      </w:r>
      <w:r w:rsidR="003471D7">
        <w:t xml:space="preserve"> </w:t>
      </w:r>
      <w:proofErr w:type="gramStart"/>
      <w:r w:rsidR="006B5E26">
        <w:t>faculty are</w:t>
      </w:r>
      <w:proofErr w:type="gramEnd"/>
      <w:r w:rsidR="006B5E26">
        <w:t xml:space="preserve"> skilled in using teaching methodologies and incorporating appropriate cultural/tribal content and approaches</w:t>
      </w:r>
    </w:p>
    <w:p w:rsidR="00945923" w:rsidRDefault="00945923" w:rsidP="00945923"/>
    <w:p w:rsidR="00945923" w:rsidRPr="00945923" w:rsidRDefault="00945923" w:rsidP="00945923">
      <w:pPr>
        <w:pStyle w:val="ListParagraph"/>
        <w:numPr>
          <w:ilvl w:val="0"/>
          <w:numId w:val="7"/>
        </w:numPr>
        <w:rPr>
          <w:b/>
        </w:rPr>
      </w:pPr>
      <w:r w:rsidRPr="00945923">
        <w:rPr>
          <w:b/>
        </w:rPr>
        <w:t>Faculty Orientation and Mentoring</w:t>
      </w:r>
    </w:p>
    <w:p w:rsidR="006B5E26" w:rsidRDefault="0080289E" w:rsidP="006B5E26">
      <w:r>
        <w:t xml:space="preserve">Area three addresses the need for </w:t>
      </w:r>
      <w:r w:rsidR="00034E5D">
        <w:t>new and developing</w:t>
      </w:r>
      <w:r>
        <w:t xml:space="preserve"> faculty to be oriented to teaching at a tribal college</w:t>
      </w:r>
      <w:r w:rsidR="00034E5D">
        <w:t>.</w:t>
      </w:r>
      <w:r>
        <w:t xml:space="preserve"> The </w:t>
      </w:r>
      <w:r w:rsidR="00034E5D">
        <w:t xml:space="preserve">activities and </w:t>
      </w:r>
      <w:r>
        <w:t xml:space="preserve">strategies used include </w:t>
      </w:r>
      <w:r w:rsidR="00034E5D">
        <w:t xml:space="preserve">orientation </w:t>
      </w:r>
      <w:r w:rsidR="0025780F">
        <w:t xml:space="preserve">trainings and development of </w:t>
      </w:r>
      <w:r w:rsidR="00034E5D">
        <w:t>orientation resources</w:t>
      </w:r>
      <w:r w:rsidR="0025780F">
        <w:t xml:space="preserve"> plus </w:t>
      </w:r>
      <w:r w:rsidR="00034E5D">
        <w:t xml:space="preserve">ongoing </w:t>
      </w:r>
      <w:r w:rsidR="0025780F">
        <w:t>mentoring of new and developing faculty by more seasoned faculty.</w:t>
      </w:r>
      <w:r w:rsidR="00D556A4">
        <w:t xml:space="preserve"> Mentoring will </w:t>
      </w:r>
      <w:r w:rsidR="00335AF5">
        <w:t>continue</w:t>
      </w:r>
      <w:r w:rsidR="00D556A4">
        <w:t xml:space="preserve"> for</w:t>
      </w:r>
      <w:r w:rsidR="00F9609E">
        <w:t xml:space="preserve"> approximately</w:t>
      </w:r>
      <w:r w:rsidR="00D556A4">
        <w:t xml:space="preserve"> the first 1-3 years that a new full-time faculty is on staff</w:t>
      </w:r>
      <w:r w:rsidR="00F9609E">
        <w:t>, as determined on a case-by case basis.</w:t>
      </w:r>
      <w:r w:rsidR="006B5E26">
        <w:t xml:space="preserve"> As a result of these activities and strategies, faculty will increase their knowledge and skills necessary to teach at a tribal college and have strengthened learning community.</w:t>
      </w:r>
    </w:p>
    <w:p w:rsidR="00B91D68" w:rsidRDefault="00B91D68" w:rsidP="00945923"/>
    <w:p w:rsidR="00945923" w:rsidRPr="00945923" w:rsidRDefault="00945923" w:rsidP="00945923">
      <w:pPr>
        <w:pStyle w:val="ListParagraph"/>
        <w:numPr>
          <w:ilvl w:val="0"/>
          <w:numId w:val="7"/>
        </w:numPr>
        <w:rPr>
          <w:b/>
        </w:rPr>
      </w:pPr>
      <w:r w:rsidRPr="00945923">
        <w:rPr>
          <w:b/>
        </w:rPr>
        <w:t>Scholarship of Teaching and Learning</w:t>
      </w:r>
    </w:p>
    <w:p w:rsidR="00F9609E" w:rsidRDefault="00F9609E" w:rsidP="00945923">
      <w:r>
        <w:t>The four</w:t>
      </w:r>
      <w:r w:rsidR="00893974">
        <w:t>th area fo</w:t>
      </w:r>
      <w:r>
        <w:t xml:space="preserve">cuses on building faculty capacity in the Scholarship of Teaching and Learning (SoTL). Activities and strategies used include trainings on how to perform research and how to publish results, action research projects, individual studies projects in teaching and learning. </w:t>
      </w:r>
      <w:r w:rsidR="00794E93">
        <w:t xml:space="preserve">This focus area </w:t>
      </w:r>
      <w:r>
        <w:t>also coordinates with the development and implementation of the Northwest Indian College Press and supporting faculty to prepare and publish scholarly work related to teaching and learning at a tribal college.</w:t>
      </w:r>
      <w:r w:rsidR="006B5E26" w:rsidRPr="006B5E26">
        <w:t xml:space="preserve"> </w:t>
      </w:r>
      <w:r w:rsidR="006B5E26">
        <w:t>As a result of the activities and strategies, faculty will be skilled in all aspects of research that supports the College mission and goals and research results will be disseminated to tribal and other appropriate communities.</w:t>
      </w:r>
    </w:p>
    <w:p w:rsidR="00945923" w:rsidRDefault="00945923" w:rsidP="00945923"/>
    <w:p w:rsidR="00945923" w:rsidRPr="00945923" w:rsidRDefault="00945923" w:rsidP="00945923">
      <w:pPr>
        <w:pStyle w:val="ListParagraph"/>
        <w:numPr>
          <w:ilvl w:val="0"/>
          <w:numId w:val="7"/>
        </w:numPr>
        <w:rPr>
          <w:b/>
        </w:rPr>
      </w:pPr>
      <w:r w:rsidRPr="00945923">
        <w:rPr>
          <w:b/>
        </w:rPr>
        <w:t>Professional Development</w:t>
      </w:r>
      <w:r>
        <w:rPr>
          <w:b/>
        </w:rPr>
        <w:t xml:space="preserve"> - A</w:t>
      </w:r>
      <w:r w:rsidRPr="00945923">
        <w:rPr>
          <w:b/>
        </w:rPr>
        <w:t xml:space="preserve">dvanced </w:t>
      </w:r>
      <w:r>
        <w:rPr>
          <w:b/>
        </w:rPr>
        <w:t>S</w:t>
      </w:r>
      <w:r w:rsidRPr="00945923">
        <w:rPr>
          <w:b/>
        </w:rPr>
        <w:t xml:space="preserve">tudy </w:t>
      </w:r>
      <w:r>
        <w:rPr>
          <w:b/>
        </w:rPr>
        <w:t xml:space="preserve">for Native </w:t>
      </w:r>
      <w:r w:rsidR="00BE7DD8">
        <w:rPr>
          <w:b/>
        </w:rPr>
        <w:t>Faculty</w:t>
      </w:r>
      <w:r>
        <w:rPr>
          <w:b/>
        </w:rPr>
        <w:t xml:space="preserve"> and other Professional Development</w:t>
      </w:r>
    </w:p>
    <w:p w:rsidR="00B91D68" w:rsidRDefault="00263A78">
      <w:r>
        <w:t xml:space="preserve">The final area focuses on professional development. It consists of </w:t>
      </w:r>
      <w:r w:rsidR="00922CAB">
        <w:t xml:space="preserve">two components: </w:t>
      </w:r>
      <w:r>
        <w:t xml:space="preserve">support for Native faculty to pursue </w:t>
      </w:r>
      <w:r w:rsidR="006B5E26">
        <w:t xml:space="preserve">advanced </w:t>
      </w:r>
      <w:r>
        <w:t xml:space="preserve">study </w:t>
      </w:r>
      <w:r w:rsidR="00893974">
        <w:t xml:space="preserve">and </w:t>
      </w:r>
      <w:r w:rsidR="00922CAB">
        <w:t xml:space="preserve">professional development </w:t>
      </w:r>
      <w:r w:rsidR="00893974">
        <w:t xml:space="preserve">for all </w:t>
      </w:r>
      <w:proofErr w:type="gramStart"/>
      <w:r w:rsidR="00893974">
        <w:t>f</w:t>
      </w:r>
      <w:r>
        <w:t>aculty</w:t>
      </w:r>
      <w:proofErr w:type="gramEnd"/>
      <w:r>
        <w:t xml:space="preserve">. The </w:t>
      </w:r>
      <w:r w:rsidR="00922CAB">
        <w:t xml:space="preserve">support and funding </w:t>
      </w:r>
      <w:r w:rsidR="004B0BDE">
        <w:t>for N</w:t>
      </w:r>
      <w:r>
        <w:t xml:space="preserve">ative faculty to pursue </w:t>
      </w:r>
      <w:r w:rsidR="00A97608">
        <w:t>advances</w:t>
      </w:r>
      <w:r w:rsidR="006B5E26">
        <w:t xml:space="preserve"> study</w:t>
      </w:r>
      <w:r w:rsidR="00922CAB">
        <w:t xml:space="preserve"> </w:t>
      </w:r>
      <w:r w:rsidR="006B5E26">
        <w:t xml:space="preserve">is </w:t>
      </w:r>
      <w:r>
        <w:t>overseen by the instruct</w:t>
      </w:r>
      <w:r w:rsidR="00922CAB">
        <w:t>ional leadership rather than through the</w:t>
      </w:r>
      <w:r>
        <w:t xml:space="preserve"> Teaching and Learning Initiative although the data about faculty pursuing advanced study is reported to the TLI</w:t>
      </w:r>
      <w:r w:rsidR="00922CAB">
        <w:t xml:space="preserve"> for assessment purposes</w:t>
      </w:r>
      <w:r>
        <w:t xml:space="preserve">. The </w:t>
      </w:r>
      <w:r w:rsidR="00922CAB">
        <w:t xml:space="preserve">second component </w:t>
      </w:r>
      <w:r>
        <w:t xml:space="preserve">includes </w:t>
      </w:r>
      <w:r w:rsidR="00922CAB">
        <w:t xml:space="preserve">strategies and </w:t>
      </w:r>
      <w:r>
        <w:t xml:space="preserve">activities for </w:t>
      </w:r>
      <w:r w:rsidR="00922CAB">
        <w:t xml:space="preserve">all </w:t>
      </w:r>
      <w:proofErr w:type="gramStart"/>
      <w:r w:rsidR="00922CAB">
        <w:t>faculty</w:t>
      </w:r>
      <w:proofErr w:type="gramEnd"/>
      <w:r w:rsidR="00922CAB">
        <w:t xml:space="preserve"> to be able to pursue professional development to support their capacity in teaching and learning and to increase their content area knowledge and skills. These activities are not intended for faculty to be pursuing advanced degrees.  Activities </w:t>
      </w:r>
      <w:r w:rsidR="00695C94">
        <w:t xml:space="preserve">and strategies </w:t>
      </w:r>
      <w:r w:rsidR="00922CAB">
        <w:t>include: conference attendance</w:t>
      </w:r>
      <w:r>
        <w:t xml:space="preserve">, external training, </w:t>
      </w:r>
      <w:r w:rsidR="00922CAB">
        <w:t xml:space="preserve">individual and group professional development which may be pursued as a FIG or </w:t>
      </w:r>
      <w:r w:rsidR="00695C94">
        <w:t>content group</w:t>
      </w:r>
      <w:r w:rsidR="00922CAB">
        <w:t xml:space="preserve">, </w:t>
      </w:r>
      <w:r w:rsidR="00695C94">
        <w:t xml:space="preserve">non-degree seeking coursework, </w:t>
      </w:r>
      <w:r w:rsidR="00893974">
        <w:t xml:space="preserve">and other professional development </w:t>
      </w:r>
      <w:r w:rsidR="00922CAB">
        <w:t>opportunities</w:t>
      </w:r>
      <w:r w:rsidR="00695C94">
        <w:t xml:space="preserve">. Group professional </w:t>
      </w:r>
      <w:r w:rsidR="002C74D8">
        <w:t>activities</w:t>
      </w:r>
      <w:r w:rsidR="00695C94">
        <w:t xml:space="preserve"> may include bringing content trainers to NWIC to raise the capacity of an entire group of faculty. As a result of these </w:t>
      </w:r>
      <w:r w:rsidR="002C74D8">
        <w:t>activities</w:t>
      </w:r>
      <w:r w:rsidR="00695C94">
        <w:t xml:space="preserve"> and strategies, faculty will increase their content expertise and teaching and learning knowledge and skills.</w:t>
      </w:r>
    </w:p>
    <w:p w:rsidR="002E128F" w:rsidRDefault="002E128F">
      <w:pPr>
        <w:rPr>
          <w:b/>
          <w:sz w:val="28"/>
          <w:szCs w:val="28"/>
        </w:rPr>
      </w:pPr>
      <w:r>
        <w:rPr>
          <w:b/>
          <w:sz w:val="28"/>
          <w:szCs w:val="28"/>
        </w:rPr>
        <w:br w:type="page"/>
      </w:r>
    </w:p>
    <w:p w:rsidR="00AD0B3D" w:rsidRDefault="00AF4F16">
      <w:pPr>
        <w:rPr>
          <w:b/>
          <w:sz w:val="28"/>
          <w:szCs w:val="28"/>
        </w:rPr>
      </w:pPr>
      <w:r>
        <w:rPr>
          <w:b/>
          <w:sz w:val="28"/>
          <w:szCs w:val="28"/>
        </w:rPr>
        <w:lastRenderedPageBreak/>
        <w:t>Data Collection and A</w:t>
      </w:r>
      <w:r w:rsidR="00AD0B3D" w:rsidRPr="00AD0B3D">
        <w:rPr>
          <w:b/>
          <w:sz w:val="28"/>
          <w:szCs w:val="28"/>
        </w:rPr>
        <w:t>ssessment of the Teaching and Learning Initiative</w:t>
      </w:r>
    </w:p>
    <w:p w:rsidR="008848A4" w:rsidRPr="00AD0B3D" w:rsidRDefault="008848A4">
      <w:pPr>
        <w:rPr>
          <w:b/>
          <w:sz w:val="28"/>
          <w:szCs w:val="28"/>
        </w:rPr>
      </w:pPr>
    </w:p>
    <w:p w:rsidR="00263A78" w:rsidRDefault="00893974" w:rsidP="002E128F">
      <w:r>
        <w:t xml:space="preserve">The </w:t>
      </w:r>
      <w:r w:rsidR="00263A78">
        <w:t xml:space="preserve">data collection </w:t>
      </w:r>
      <w:r>
        <w:t xml:space="preserve">and reporting for the TLI </w:t>
      </w:r>
      <w:r w:rsidR="00A97608">
        <w:t>consists</w:t>
      </w:r>
      <w:r>
        <w:t xml:space="preserve"> of </w:t>
      </w:r>
      <w:r w:rsidR="00263A78">
        <w:t xml:space="preserve">indicators that assess multiple focus areas. The data collected will be both for </w:t>
      </w:r>
      <w:r>
        <w:t xml:space="preserve">assessing and reporting on the effectiveness of focus areas and also to provide individuals with feedback so that </w:t>
      </w:r>
      <w:r w:rsidR="004B0BDE">
        <w:t xml:space="preserve">each faculty member can </w:t>
      </w:r>
      <w:r>
        <w:t>build capacity</w:t>
      </w:r>
      <w:r w:rsidR="004B0BDE">
        <w:t xml:space="preserve"> to teach at Northwest Indian College</w:t>
      </w:r>
      <w:r>
        <w:t>.</w:t>
      </w:r>
    </w:p>
    <w:p w:rsidR="008848A4" w:rsidRDefault="008848A4" w:rsidP="00B91D68"/>
    <w:p w:rsidR="004B0BDE" w:rsidRDefault="00893974" w:rsidP="004B0BDE">
      <w:pPr>
        <w:spacing w:after="120"/>
      </w:pPr>
      <w:r>
        <w:t>The Data collect</w:t>
      </w:r>
      <w:r w:rsidR="008848A4">
        <w:t>ion and assessment tools consist of</w:t>
      </w:r>
      <w:r>
        <w:t>:</w:t>
      </w:r>
    </w:p>
    <w:p w:rsidR="00893974" w:rsidRDefault="00893974" w:rsidP="004B0BDE">
      <w:pPr>
        <w:pStyle w:val="ListParagraph"/>
        <w:numPr>
          <w:ilvl w:val="0"/>
          <w:numId w:val="6"/>
        </w:numPr>
        <w:spacing w:line="360" w:lineRule="auto"/>
      </w:pPr>
      <w:r>
        <w:t>Surveys of methodologies and assessment strategies,</w:t>
      </w:r>
    </w:p>
    <w:p w:rsidR="00893974" w:rsidRDefault="00893974" w:rsidP="004B0BDE">
      <w:pPr>
        <w:pStyle w:val="ListParagraph"/>
        <w:numPr>
          <w:ilvl w:val="0"/>
          <w:numId w:val="6"/>
        </w:numPr>
        <w:spacing w:line="360" w:lineRule="auto"/>
      </w:pPr>
      <w:r>
        <w:t>Rates of participation in activities and strategies, including rates of usage of online tools,</w:t>
      </w:r>
    </w:p>
    <w:p w:rsidR="00893974" w:rsidRDefault="00893974" w:rsidP="004B0BDE">
      <w:pPr>
        <w:pStyle w:val="ListParagraph"/>
        <w:numPr>
          <w:ilvl w:val="0"/>
          <w:numId w:val="6"/>
        </w:numPr>
        <w:spacing w:line="360" w:lineRule="auto"/>
      </w:pPr>
      <w:r>
        <w:t>Pre- and post-surveys that assess the goals of each focus area,</w:t>
      </w:r>
    </w:p>
    <w:p w:rsidR="00893974" w:rsidRDefault="00893974" w:rsidP="004B0BDE">
      <w:pPr>
        <w:pStyle w:val="ListParagraph"/>
        <w:numPr>
          <w:ilvl w:val="0"/>
          <w:numId w:val="6"/>
        </w:numPr>
        <w:spacing w:line="360" w:lineRule="auto"/>
      </w:pPr>
      <w:r>
        <w:t>AIMS/AIKIS faculty development data</w:t>
      </w:r>
      <w:r w:rsidR="00766CEB">
        <w:t>,</w:t>
      </w:r>
    </w:p>
    <w:p w:rsidR="00893974" w:rsidRDefault="00893974" w:rsidP="004B0BDE">
      <w:pPr>
        <w:pStyle w:val="ListParagraph"/>
        <w:numPr>
          <w:ilvl w:val="0"/>
          <w:numId w:val="6"/>
        </w:numPr>
      </w:pPr>
      <w:r>
        <w:t xml:space="preserve">We will also use faculty evaluation </w:t>
      </w:r>
      <w:r w:rsidR="00766CEB">
        <w:t xml:space="preserve">and self-assessment </w:t>
      </w:r>
      <w:r>
        <w:t xml:space="preserve">data as both a means of assessing individual faculty and to provide them with </w:t>
      </w:r>
      <w:r w:rsidR="00A97608">
        <w:t>actionable</w:t>
      </w:r>
      <w:r>
        <w:t xml:space="preserve"> feedback.</w:t>
      </w:r>
    </w:p>
    <w:p w:rsidR="00B91D68" w:rsidRDefault="00B91D68" w:rsidP="00B91D68"/>
    <w:p w:rsidR="00B91D68" w:rsidRDefault="00B91D68" w:rsidP="00B91D68"/>
    <w:p w:rsidR="00AD0B3D" w:rsidRDefault="00AD0B3D">
      <w:pPr>
        <w:rPr>
          <w:u w:val="single"/>
        </w:rPr>
      </w:pPr>
    </w:p>
    <w:p w:rsidR="00956A14" w:rsidRDefault="00956A14">
      <w:pPr>
        <w:rPr>
          <w:b/>
          <w:sz w:val="28"/>
          <w:szCs w:val="28"/>
        </w:rPr>
        <w:sectPr w:rsidR="00956A14" w:rsidSect="00956A14">
          <w:footerReference w:type="default" r:id="rId8"/>
          <w:pgSz w:w="12240" w:h="15840" w:code="1"/>
          <w:pgMar w:top="720" w:right="720" w:bottom="720" w:left="720" w:header="432" w:footer="432" w:gutter="0"/>
          <w:cols w:space="720"/>
          <w:docGrid w:linePitch="360"/>
        </w:sectPr>
      </w:pPr>
      <w:r>
        <w:rPr>
          <w:b/>
          <w:sz w:val="28"/>
          <w:szCs w:val="28"/>
        </w:rPr>
        <w:br w:type="page"/>
      </w:r>
    </w:p>
    <w:p w:rsidR="00AC434D" w:rsidRPr="00DC78F5" w:rsidRDefault="0086225E" w:rsidP="00AF4F16">
      <w:pPr>
        <w:jc w:val="center"/>
        <w:rPr>
          <w:b/>
          <w:sz w:val="32"/>
          <w:szCs w:val="32"/>
        </w:rPr>
      </w:pPr>
      <w:r w:rsidRPr="00DC78F5">
        <w:rPr>
          <w:b/>
          <w:sz w:val="32"/>
          <w:szCs w:val="32"/>
        </w:rPr>
        <w:lastRenderedPageBreak/>
        <w:t xml:space="preserve">Teaching and Learning Initiative </w:t>
      </w:r>
      <w:r w:rsidR="00AC434D" w:rsidRPr="00DC78F5">
        <w:rPr>
          <w:b/>
          <w:sz w:val="32"/>
          <w:szCs w:val="32"/>
        </w:rPr>
        <w:t>Implementation Plan</w:t>
      </w:r>
      <w:r w:rsidRPr="00DC78F5">
        <w:rPr>
          <w:b/>
          <w:sz w:val="32"/>
          <w:szCs w:val="32"/>
        </w:rPr>
        <w:t xml:space="preserve"> 2012-2017</w:t>
      </w:r>
    </w:p>
    <w:p w:rsidR="00C96690" w:rsidRPr="005D5922" w:rsidRDefault="00C96690" w:rsidP="00957052">
      <w:pPr>
        <w:spacing w:before="120"/>
        <w:rPr>
          <w:b/>
        </w:rPr>
      </w:pPr>
      <w:r w:rsidRPr="006764B6">
        <w:rPr>
          <w:b/>
          <w:u w:val="single"/>
        </w:rPr>
        <w:t>Focus Areas</w:t>
      </w:r>
      <w:r w:rsidRPr="005D5922">
        <w:rPr>
          <w:b/>
        </w:rPr>
        <w:tab/>
      </w:r>
      <w:r w:rsidRPr="005D5922">
        <w:rPr>
          <w:b/>
        </w:rPr>
        <w:tab/>
      </w:r>
      <w:r w:rsidRPr="005D5922">
        <w:rPr>
          <w:b/>
        </w:rPr>
        <w:tab/>
      </w:r>
      <w:r w:rsidRPr="006764B6">
        <w:rPr>
          <w:b/>
          <w:u w:val="single"/>
        </w:rPr>
        <w:t>Activities/Tools/Strategies</w:t>
      </w:r>
      <w:r w:rsidRPr="005D5922">
        <w:rPr>
          <w:b/>
        </w:rPr>
        <w:tab/>
      </w:r>
      <w:r w:rsidRPr="005D5922">
        <w:rPr>
          <w:b/>
        </w:rPr>
        <w:tab/>
      </w:r>
      <w:r w:rsidRPr="005D5922">
        <w:rPr>
          <w:b/>
        </w:rPr>
        <w:tab/>
      </w:r>
      <w:r w:rsidRPr="005D5922">
        <w:rPr>
          <w:b/>
        </w:rPr>
        <w:tab/>
      </w:r>
      <w:r w:rsidR="002F3220">
        <w:rPr>
          <w:b/>
        </w:rPr>
        <w:tab/>
      </w:r>
      <w:r w:rsidRPr="006764B6">
        <w:rPr>
          <w:b/>
          <w:u w:val="single"/>
        </w:rPr>
        <w:t>Outcomes</w:t>
      </w:r>
      <w:r w:rsidRPr="005D5922">
        <w:rPr>
          <w:b/>
        </w:rPr>
        <w:tab/>
      </w:r>
      <w:r w:rsidRPr="005D5922">
        <w:rPr>
          <w:b/>
        </w:rPr>
        <w:tab/>
      </w:r>
      <w:r w:rsidR="002F3220">
        <w:rPr>
          <w:b/>
        </w:rPr>
        <w:tab/>
      </w:r>
      <w:r w:rsidR="00F7074C">
        <w:rPr>
          <w:b/>
        </w:rPr>
        <w:t xml:space="preserve">               </w:t>
      </w:r>
      <w:r w:rsidRPr="006764B6">
        <w:rPr>
          <w:b/>
          <w:u w:val="single"/>
        </w:rPr>
        <w:t>Data Collection</w:t>
      </w:r>
      <w:r w:rsidRPr="005D5922">
        <w:rPr>
          <w:b/>
        </w:rPr>
        <w:tab/>
      </w:r>
    </w:p>
    <w:p w:rsidR="00B75410" w:rsidRDefault="005657BE" w:rsidP="00B75410">
      <w:pPr>
        <w:pStyle w:val="ListParagraph"/>
        <w:tabs>
          <w:tab w:val="left" w:pos="0"/>
        </w:tabs>
        <w:ind w:left="0"/>
      </w:pPr>
      <w:r>
        <w:rPr>
          <w:noProof/>
        </w:rPr>
        <w:pict>
          <v:roundrect id="_x0000_s1032" style="position:absolute;margin-left:130.45pt;margin-top:7.95pt;width:224.85pt;height:112.55pt;z-index:-251652096" arcsize="10923f">
            <v:textbox style="mso-next-textbox:#_x0000_s1032" inset="1.44pt,0,1.44pt,0">
              <w:txbxContent>
                <w:p w:rsidR="00295433" w:rsidRDefault="00295433" w:rsidP="004771A0">
                  <w:pPr>
                    <w:pStyle w:val="ListParagraph"/>
                    <w:numPr>
                      <w:ilvl w:val="0"/>
                      <w:numId w:val="18"/>
                    </w:numPr>
                    <w:tabs>
                      <w:tab w:val="left" w:pos="0"/>
                    </w:tabs>
                  </w:pPr>
                  <w:r>
                    <w:t>Workshop on program and course design</w:t>
                  </w:r>
                </w:p>
                <w:p w:rsidR="00295433" w:rsidRDefault="00295433" w:rsidP="004771A0">
                  <w:pPr>
                    <w:pStyle w:val="ListParagraph"/>
                    <w:numPr>
                      <w:ilvl w:val="0"/>
                      <w:numId w:val="18"/>
                    </w:numPr>
                  </w:pPr>
                  <w:r>
                    <w:t>Ongoing in-services on program and course design</w:t>
                  </w:r>
                </w:p>
                <w:p w:rsidR="00295433" w:rsidRDefault="004771A0" w:rsidP="004771A0">
                  <w:pPr>
                    <w:pStyle w:val="ListParagraph"/>
                    <w:tabs>
                      <w:tab w:val="left" w:pos="0"/>
                    </w:tabs>
                  </w:pPr>
                  <w:r>
                    <w:t>-</w:t>
                  </w:r>
                  <w:r w:rsidR="00295433">
                    <w:t>Assessment-outcomes</w:t>
                  </w:r>
                </w:p>
                <w:p w:rsidR="00295433" w:rsidRDefault="004771A0" w:rsidP="004771A0">
                  <w:pPr>
                    <w:pStyle w:val="ListParagraph"/>
                    <w:tabs>
                      <w:tab w:val="left" w:pos="0"/>
                    </w:tabs>
                  </w:pPr>
                  <w:r>
                    <w:t>-</w:t>
                  </w:r>
                  <w:r w:rsidR="00295433">
                    <w:t>Assessment Methods</w:t>
                  </w:r>
                </w:p>
                <w:p w:rsidR="00295433" w:rsidRDefault="004771A0" w:rsidP="004771A0">
                  <w:pPr>
                    <w:pStyle w:val="ListParagraph"/>
                    <w:tabs>
                      <w:tab w:val="left" w:pos="0"/>
                    </w:tabs>
                  </w:pPr>
                  <w:r>
                    <w:t>-</w:t>
                  </w:r>
                  <w:r w:rsidR="00295433">
                    <w:t>Course Content</w:t>
                  </w:r>
                </w:p>
                <w:p w:rsidR="00295433" w:rsidRDefault="00295433" w:rsidP="005D5922"/>
              </w:txbxContent>
            </v:textbox>
          </v:roundrect>
        </w:pict>
      </w:r>
    </w:p>
    <w:p w:rsidR="005D5922" w:rsidRDefault="005657BE" w:rsidP="00A85D20">
      <w:pPr>
        <w:pStyle w:val="ListParagraph"/>
        <w:tabs>
          <w:tab w:val="left" w:pos="0"/>
          <w:tab w:val="left" w:pos="4885"/>
        </w:tabs>
        <w:ind w:left="0"/>
      </w:pPr>
      <w:r>
        <w:rPr>
          <w:noProof/>
        </w:rPr>
        <w:pict>
          <v:roundrect id="_x0000_s1035" style="position:absolute;margin-left:394.95pt;margin-top:3.6pt;width:159.05pt;height:84.25pt;z-index:-251650048" arcsize="10923f">
            <v:textbox style="mso-next-textbox:#_x0000_s1035" inset="1.44pt,0,1.44pt,0">
              <w:txbxContent>
                <w:p w:rsidR="00295433" w:rsidRDefault="00295433" w:rsidP="005D5922">
                  <w:r>
                    <w:t>Faculty skill</w:t>
                  </w:r>
                  <w:r w:rsidR="003E11FB">
                    <w:t>ed</w:t>
                  </w:r>
                  <w:r>
                    <w:t xml:space="preserve"> in designing, delivering and assessing program and course content in alignment with institutional level outcomes and indicators</w:t>
                  </w:r>
                </w:p>
              </w:txbxContent>
            </v:textbox>
          </v:roundrect>
        </w:pict>
      </w:r>
      <w:r w:rsidR="00A85D20">
        <w:tab/>
      </w:r>
    </w:p>
    <w:p w:rsidR="005D5922" w:rsidRDefault="005657BE" w:rsidP="00B75410">
      <w:pPr>
        <w:pStyle w:val="ListParagraph"/>
        <w:tabs>
          <w:tab w:val="left" w:pos="0"/>
        </w:tabs>
        <w:ind w:left="0"/>
      </w:pPr>
      <w:r>
        <w:rPr>
          <w:noProof/>
        </w:rPr>
        <w:pict>
          <v:roundrect id="_x0000_s1077" style="position:absolute;margin-left:819.35pt;margin-top:-.7pt;width:100pt;height:444.5pt;z-index:-251622400" arcsize="10923f">
            <v:textbox style="mso-next-textbox:#_x0000_s1077" inset="1.44pt,0,1.44pt,0">
              <w:txbxContent>
                <w:p w:rsidR="00445821" w:rsidRDefault="00445821" w:rsidP="00445821">
                  <w:pPr>
                    <w:pStyle w:val="ListParagraph"/>
                    <w:numPr>
                      <w:ilvl w:val="0"/>
                      <w:numId w:val="19"/>
                    </w:numPr>
                  </w:pPr>
                  <w:r>
                    <w:t>Surveys of methodologies and assessment strategies</w:t>
                  </w:r>
                </w:p>
                <w:p w:rsidR="00445821" w:rsidRDefault="00445821" w:rsidP="00445821">
                  <w:pPr>
                    <w:pStyle w:val="ListParagraph"/>
                    <w:ind w:left="360"/>
                  </w:pPr>
                </w:p>
                <w:p w:rsidR="00445821" w:rsidRDefault="00445821" w:rsidP="00445821">
                  <w:pPr>
                    <w:pStyle w:val="ListParagraph"/>
                    <w:numPr>
                      <w:ilvl w:val="0"/>
                      <w:numId w:val="19"/>
                    </w:numPr>
                  </w:pPr>
                  <w:r>
                    <w:t>Rates of participation in activities and strategies, including rates of usage of online tools</w:t>
                  </w:r>
                </w:p>
                <w:p w:rsidR="00445821" w:rsidRDefault="00445821" w:rsidP="00445821"/>
                <w:p w:rsidR="00445821" w:rsidRDefault="00445821" w:rsidP="00445821">
                  <w:pPr>
                    <w:pStyle w:val="ListParagraph"/>
                    <w:numPr>
                      <w:ilvl w:val="0"/>
                      <w:numId w:val="19"/>
                    </w:numPr>
                  </w:pPr>
                  <w:r>
                    <w:t>Pre- and post-surveys that assess the goals of each focus area</w:t>
                  </w:r>
                </w:p>
                <w:p w:rsidR="00445821" w:rsidRDefault="00445821" w:rsidP="00445821">
                  <w:pPr>
                    <w:pStyle w:val="ListParagraph"/>
                    <w:ind w:left="360"/>
                  </w:pPr>
                </w:p>
                <w:p w:rsidR="00445821" w:rsidRDefault="00445821" w:rsidP="00445821">
                  <w:pPr>
                    <w:pStyle w:val="ListParagraph"/>
                    <w:numPr>
                      <w:ilvl w:val="0"/>
                      <w:numId w:val="19"/>
                    </w:numPr>
                  </w:pPr>
                  <w:r>
                    <w:t>AIMS/AIKIS faculty development data</w:t>
                  </w:r>
                </w:p>
                <w:p w:rsidR="00445821" w:rsidRDefault="00445821" w:rsidP="00445821">
                  <w:pPr>
                    <w:pStyle w:val="ListParagraph"/>
                    <w:ind w:left="360"/>
                  </w:pPr>
                </w:p>
                <w:p w:rsidR="00445821" w:rsidRDefault="00445821" w:rsidP="00445821">
                  <w:pPr>
                    <w:pStyle w:val="ListParagraph"/>
                    <w:numPr>
                      <w:ilvl w:val="0"/>
                      <w:numId w:val="19"/>
                    </w:numPr>
                  </w:pPr>
                  <w:r>
                    <w:t>Faculty evaluation and self-assessment data</w:t>
                  </w:r>
                </w:p>
                <w:p w:rsidR="00445821" w:rsidRDefault="00445821" w:rsidP="00445821"/>
                <w:p w:rsidR="00445821" w:rsidRDefault="00445821" w:rsidP="00F7074C">
                  <w:pPr>
                    <w:pStyle w:val="ListParagraph"/>
                    <w:tabs>
                      <w:tab w:val="left" w:pos="0"/>
                    </w:tabs>
                    <w:ind w:left="0"/>
                  </w:pPr>
                </w:p>
              </w:txbxContent>
            </v:textbox>
          </v:roundrect>
        </w:pict>
      </w:r>
      <w:r>
        <w:rPr>
          <w:noProof/>
        </w:rPr>
        <w:pict>
          <v:roundrect id="_x0000_s1065" style="position:absolute;margin-left:616.1pt;margin-top:7pt;width:100pt;height:444.5pt;z-index:-251624448" arcsize="10923f">
            <v:textbox style="mso-next-textbox:#_x0000_s1065" inset="1.44pt,0,1.44pt,0">
              <w:txbxContent>
                <w:p w:rsidR="00445821" w:rsidRDefault="00F7074C" w:rsidP="00445821">
                  <w:pPr>
                    <w:pStyle w:val="ListParagraph"/>
                    <w:numPr>
                      <w:ilvl w:val="0"/>
                      <w:numId w:val="19"/>
                    </w:numPr>
                  </w:pPr>
                  <w:r>
                    <w:t>Surveys of methodol</w:t>
                  </w:r>
                  <w:r w:rsidR="00766CEB">
                    <w:t>ogies and assessment strategies</w:t>
                  </w:r>
                </w:p>
                <w:p w:rsidR="00445821" w:rsidRDefault="00445821" w:rsidP="00445821">
                  <w:pPr>
                    <w:pStyle w:val="ListParagraph"/>
                    <w:ind w:left="360"/>
                  </w:pPr>
                </w:p>
                <w:p w:rsidR="00445821" w:rsidRDefault="00445821" w:rsidP="00445821">
                  <w:pPr>
                    <w:pStyle w:val="ListParagraph"/>
                    <w:numPr>
                      <w:ilvl w:val="0"/>
                      <w:numId w:val="19"/>
                    </w:numPr>
                  </w:pPr>
                  <w:r>
                    <w:t>Rates of participation in activities and strategies, including rates of usage of online tools</w:t>
                  </w:r>
                </w:p>
                <w:p w:rsidR="00445821" w:rsidRDefault="00445821" w:rsidP="00445821"/>
                <w:p w:rsidR="00445821" w:rsidRDefault="00445821" w:rsidP="00445821">
                  <w:pPr>
                    <w:pStyle w:val="ListParagraph"/>
                    <w:numPr>
                      <w:ilvl w:val="0"/>
                      <w:numId w:val="19"/>
                    </w:numPr>
                  </w:pPr>
                  <w:r>
                    <w:t>Pre- and post-surveys that assess the goals of each focus area</w:t>
                  </w:r>
                </w:p>
                <w:p w:rsidR="00445821" w:rsidRDefault="00445821" w:rsidP="00445821">
                  <w:pPr>
                    <w:pStyle w:val="ListParagraph"/>
                    <w:ind w:left="360"/>
                  </w:pPr>
                </w:p>
                <w:p w:rsidR="00445821" w:rsidRDefault="00445821" w:rsidP="00445821">
                  <w:pPr>
                    <w:pStyle w:val="ListParagraph"/>
                    <w:numPr>
                      <w:ilvl w:val="0"/>
                      <w:numId w:val="19"/>
                    </w:numPr>
                  </w:pPr>
                  <w:r>
                    <w:t>AIMS/AIKIS faculty development data</w:t>
                  </w:r>
                </w:p>
                <w:p w:rsidR="00445821" w:rsidRDefault="00445821" w:rsidP="00445821">
                  <w:pPr>
                    <w:pStyle w:val="ListParagraph"/>
                    <w:ind w:left="360"/>
                  </w:pPr>
                </w:p>
                <w:p w:rsidR="00445821" w:rsidRDefault="00445821" w:rsidP="00445821">
                  <w:pPr>
                    <w:pStyle w:val="ListParagraph"/>
                    <w:numPr>
                      <w:ilvl w:val="0"/>
                      <w:numId w:val="19"/>
                    </w:numPr>
                  </w:pPr>
                  <w:r>
                    <w:t>Faculty evaluation and self-assessment data</w:t>
                  </w:r>
                </w:p>
                <w:p w:rsidR="00445821" w:rsidRDefault="00445821" w:rsidP="00445821"/>
                <w:p w:rsidR="00F7074C" w:rsidRDefault="00F7074C" w:rsidP="00F7074C">
                  <w:pPr>
                    <w:pStyle w:val="ListParagraph"/>
                    <w:tabs>
                      <w:tab w:val="left" w:pos="0"/>
                    </w:tabs>
                    <w:ind w:left="0"/>
                  </w:pPr>
                </w:p>
              </w:txbxContent>
            </v:textbox>
          </v:roundrect>
        </w:pict>
      </w:r>
    </w:p>
    <w:p w:rsidR="005D5922" w:rsidRDefault="005657BE" w:rsidP="00B75410">
      <w:pPr>
        <w:pStyle w:val="ListParagraph"/>
        <w:tabs>
          <w:tab w:val="left" w:pos="0"/>
        </w:tabs>
        <w:ind w:left="0"/>
      </w:pPr>
      <w:r>
        <w:rPr>
          <w:noProof/>
        </w:rPr>
        <w:pict>
          <v:roundrect id="_x0000_s1027" style="position:absolute;margin-left:-17.4pt;margin-top:8.75pt;width:100pt;height:35.5pt;z-index:-251657216" arcsize="10923f">
            <v:textbox style="mso-next-textbox:#_x0000_s1027" inset="1.44pt,0,1.44pt,0">
              <w:txbxContent>
                <w:p w:rsidR="00295433" w:rsidRDefault="00860F9C" w:rsidP="005D5922">
                  <w:pPr>
                    <w:pStyle w:val="ListParagraph"/>
                    <w:tabs>
                      <w:tab w:val="left" w:pos="0"/>
                    </w:tabs>
                    <w:ind w:left="0"/>
                  </w:pPr>
                  <w:proofErr w:type="gramStart"/>
                  <w:r>
                    <w:t>1.</w:t>
                  </w:r>
                  <w:r w:rsidR="00295433">
                    <w:t>Program</w:t>
                  </w:r>
                  <w:proofErr w:type="gramEnd"/>
                  <w:r w:rsidR="00295433">
                    <w:t xml:space="preserve"> and </w:t>
                  </w:r>
                </w:p>
                <w:p w:rsidR="00295433" w:rsidRDefault="00295433" w:rsidP="005D5922">
                  <w:r>
                    <w:t>Course Design</w:t>
                  </w:r>
                </w:p>
              </w:txbxContent>
            </v:textbox>
          </v:roundrect>
        </w:pict>
      </w:r>
    </w:p>
    <w:p w:rsidR="00B75410" w:rsidRDefault="005657BE" w:rsidP="00B75410">
      <w:pPr>
        <w:pStyle w:val="ListParagraph"/>
        <w:tabs>
          <w:tab w:val="left" w:pos="0"/>
        </w:tabs>
        <w:ind w:left="0"/>
      </w:pPr>
      <w:r>
        <w:rPr>
          <w:noProof/>
        </w:rPr>
        <w:pict>
          <v:shapetype id="_x0000_t32" coordsize="21600,21600" o:spt="32" o:oned="t" path="m,l21600,21600e" filled="f">
            <v:path arrowok="t" fillok="f" o:connecttype="none"/>
            <o:lock v:ext="edit" shapetype="t"/>
          </v:shapetype>
          <v:shape id="_x0000_s1076" type="#_x0000_t32" style="position:absolute;margin-left:565.8pt;margin-top:2.85pt;width:42.45pt;height:27.6pt;z-index:251693056" o:connectortype="straight">
            <v:stroke endarrow="block"/>
          </v:shape>
        </w:pict>
      </w:r>
      <w:r>
        <w:rPr>
          <w:noProof/>
        </w:rPr>
        <w:pict>
          <v:shape id="_x0000_s1043" type="#_x0000_t32" style="position:absolute;margin-left:362.55pt;margin-top:10.55pt;width:28.1pt;height:0;z-index:251672576" o:connectortype="straight">
            <v:stroke endarrow="block"/>
          </v:shape>
        </w:pict>
      </w:r>
      <w:r>
        <w:rPr>
          <w:noProof/>
        </w:rPr>
        <w:pict>
          <v:shape id="_x0000_s1036" type="#_x0000_t32" style="position:absolute;margin-left:96.1pt;margin-top:10.55pt;width:28.1pt;height:0;z-index:251667456" o:connectortype="straight">
            <v:stroke endarrow="block"/>
          </v:shape>
        </w:pict>
      </w:r>
    </w:p>
    <w:p w:rsidR="00B75410" w:rsidRDefault="00B75410" w:rsidP="00B75410">
      <w:pPr>
        <w:pStyle w:val="ListParagraph"/>
        <w:tabs>
          <w:tab w:val="left" w:pos="0"/>
        </w:tabs>
        <w:ind w:left="0"/>
      </w:pPr>
    </w:p>
    <w:p w:rsidR="00B75410" w:rsidRDefault="00B75410" w:rsidP="00B75410">
      <w:pPr>
        <w:pStyle w:val="ListParagraph"/>
        <w:tabs>
          <w:tab w:val="left" w:pos="0"/>
        </w:tabs>
        <w:ind w:left="0"/>
      </w:pPr>
    </w:p>
    <w:p w:rsidR="00B75410" w:rsidRDefault="005657BE" w:rsidP="00B75410">
      <w:pPr>
        <w:pStyle w:val="ListParagraph"/>
        <w:tabs>
          <w:tab w:val="left" w:pos="0"/>
        </w:tabs>
        <w:ind w:left="0"/>
      </w:pPr>
      <w:r>
        <w:rPr>
          <w:noProof/>
        </w:rPr>
        <w:pict>
          <v:roundrect id="_x0000_s1083" style="position:absolute;margin-left:815.25pt;margin-top:214.45pt;width:100pt;height:444.5pt;z-index:-251616256" arcsize="10923f">
            <v:textbox style="mso-next-textbox:#_x0000_s1083" inset="1.44pt,0,1.44pt,0">
              <w:txbxContent>
                <w:p w:rsidR="00445821" w:rsidRDefault="00445821" w:rsidP="00445821">
                  <w:pPr>
                    <w:pStyle w:val="ListParagraph"/>
                    <w:numPr>
                      <w:ilvl w:val="0"/>
                      <w:numId w:val="19"/>
                    </w:numPr>
                  </w:pPr>
                  <w:r>
                    <w:t>Surveys of methodologies and assessment strategies</w:t>
                  </w:r>
                </w:p>
                <w:p w:rsidR="00445821" w:rsidRDefault="00445821" w:rsidP="00445821">
                  <w:pPr>
                    <w:pStyle w:val="ListParagraph"/>
                    <w:ind w:left="360"/>
                  </w:pPr>
                </w:p>
                <w:p w:rsidR="00445821" w:rsidRDefault="00445821" w:rsidP="00445821">
                  <w:pPr>
                    <w:pStyle w:val="ListParagraph"/>
                    <w:numPr>
                      <w:ilvl w:val="0"/>
                      <w:numId w:val="19"/>
                    </w:numPr>
                  </w:pPr>
                  <w:r>
                    <w:t>Rates of participation in activities and strategies, including rates of usage of online tools</w:t>
                  </w:r>
                </w:p>
                <w:p w:rsidR="00445821" w:rsidRDefault="00445821" w:rsidP="00445821"/>
                <w:p w:rsidR="00445821" w:rsidRDefault="00445821" w:rsidP="00445821">
                  <w:pPr>
                    <w:pStyle w:val="ListParagraph"/>
                    <w:numPr>
                      <w:ilvl w:val="0"/>
                      <w:numId w:val="19"/>
                    </w:numPr>
                  </w:pPr>
                  <w:r>
                    <w:t>Pre- and post-surveys that assess the goals of each focus area</w:t>
                  </w:r>
                </w:p>
                <w:p w:rsidR="00445821" w:rsidRDefault="00445821" w:rsidP="00445821">
                  <w:pPr>
                    <w:pStyle w:val="ListParagraph"/>
                    <w:ind w:left="360"/>
                  </w:pPr>
                </w:p>
                <w:p w:rsidR="00445821" w:rsidRDefault="00445821" w:rsidP="00445821">
                  <w:pPr>
                    <w:pStyle w:val="ListParagraph"/>
                    <w:numPr>
                      <w:ilvl w:val="0"/>
                      <w:numId w:val="19"/>
                    </w:numPr>
                  </w:pPr>
                  <w:r>
                    <w:t>AIMS/AIKIS faculty development data</w:t>
                  </w:r>
                </w:p>
                <w:p w:rsidR="00445821" w:rsidRDefault="00445821" w:rsidP="00445821">
                  <w:pPr>
                    <w:pStyle w:val="ListParagraph"/>
                    <w:ind w:left="360"/>
                  </w:pPr>
                </w:p>
                <w:p w:rsidR="00445821" w:rsidRDefault="00445821" w:rsidP="00445821">
                  <w:pPr>
                    <w:pStyle w:val="ListParagraph"/>
                    <w:numPr>
                      <w:ilvl w:val="0"/>
                      <w:numId w:val="19"/>
                    </w:numPr>
                  </w:pPr>
                  <w:r>
                    <w:t>Faculty evaluation and self-assessment data</w:t>
                  </w:r>
                </w:p>
                <w:p w:rsidR="00445821" w:rsidRDefault="00445821" w:rsidP="00445821"/>
                <w:p w:rsidR="00445821" w:rsidRDefault="00445821" w:rsidP="00F7074C">
                  <w:pPr>
                    <w:pStyle w:val="ListParagraph"/>
                    <w:tabs>
                      <w:tab w:val="left" w:pos="0"/>
                    </w:tabs>
                    <w:ind w:left="0"/>
                  </w:pPr>
                </w:p>
              </w:txbxContent>
            </v:textbox>
          </v:roundrect>
        </w:pict>
      </w:r>
      <w:r>
        <w:rPr>
          <w:noProof/>
        </w:rPr>
        <w:pict>
          <v:roundrect id="_x0000_s1081" style="position:absolute;margin-left:822.35pt;margin-top:107.65pt;width:100pt;height:444.5pt;z-index:-251618304" arcsize="10923f">
            <v:textbox style="mso-next-textbox:#_x0000_s1081" inset="1.44pt,0,1.44pt,0">
              <w:txbxContent>
                <w:p w:rsidR="00445821" w:rsidRDefault="00445821" w:rsidP="00445821">
                  <w:pPr>
                    <w:pStyle w:val="ListParagraph"/>
                    <w:numPr>
                      <w:ilvl w:val="0"/>
                      <w:numId w:val="19"/>
                    </w:numPr>
                  </w:pPr>
                  <w:r>
                    <w:t>Surveys of methodologies and assessment strategies</w:t>
                  </w:r>
                </w:p>
                <w:p w:rsidR="00445821" w:rsidRDefault="00445821" w:rsidP="00445821">
                  <w:pPr>
                    <w:pStyle w:val="ListParagraph"/>
                    <w:ind w:left="360"/>
                  </w:pPr>
                </w:p>
                <w:p w:rsidR="00445821" w:rsidRDefault="00445821" w:rsidP="00445821">
                  <w:pPr>
                    <w:pStyle w:val="ListParagraph"/>
                    <w:numPr>
                      <w:ilvl w:val="0"/>
                      <w:numId w:val="19"/>
                    </w:numPr>
                  </w:pPr>
                  <w:r>
                    <w:t>Rates of participation in activities and strategies, including rates of usage of online tools</w:t>
                  </w:r>
                </w:p>
                <w:p w:rsidR="00445821" w:rsidRDefault="00445821" w:rsidP="00445821"/>
                <w:p w:rsidR="00445821" w:rsidRDefault="00445821" w:rsidP="00445821">
                  <w:pPr>
                    <w:pStyle w:val="ListParagraph"/>
                    <w:numPr>
                      <w:ilvl w:val="0"/>
                      <w:numId w:val="19"/>
                    </w:numPr>
                  </w:pPr>
                  <w:r>
                    <w:t>Pre- and post-surveys that assess the goals of each focus area</w:t>
                  </w:r>
                </w:p>
                <w:p w:rsidR="00445821" w:rsidRDefault="00445821" w:rsidP="00445821">
                  <w:pPr>
                    <w:pStyle w:val="ListParagraph"/>
                    <w:ind w:left="360"/>
                  </w:pPr>
                </w:p>
                <w:p w:rsidR="00445821" w:rsidRDefault="00445821" w:rsidP="00445821">
                  <w:pPr>
                    <w:pStyle w:val="ListParagraph"/>
                    <w:numPr>
                      <w:ilvl w:val="0"/>
                      <w:numId w:val="19"/>
                    </w:numPr>
                  </w:pPr>
                  <w:r>
                    <w:t>AIMS/AIKIS faculty development data</w:t>
                  </w:r>
                </w:p>
                <w:p w:rsidR="00445821" w:rsidRDefault="00445821" w:rsidP="00445821">
                  <w:pPr>
                    <w:pStyle w:val="ListParagraph"/>
                    <w:ind w:left="360"/>
                  </w:pPr>
                </w:p>
                <w:p w:rsidR="00445821" w:rsidRDefault="00445821" w:rsidP="00445821">
                  <w:pPr>
                    <w:pStyle w:val="ListParagraph"/>
                    <w:numPr>
                      <w:ilvl w:val="0"/>
                      <w:numId w:val="19"/>
                    </w:numPr>
                  </w:pPr>
                  <w:r>
                    <w:t>Faculty evaluation and self-assessment data</w:t>
                  </w:r>
                </w:p>
                <w:p w:rsidR="00445821" w:rsidRDefault="00445821" w:rsidP="00445821"/>
                <w:p w:rsidR="00445821" w:rsidRDefault="00445821" w:rsidP="00F7074C">
                  <w:pPr>
                    <w:pStyle w:val="ListParagraph"/>
                    <w:tabs>
                      <w:tab w:val="left" w:pos="0"/>
                    </w:tabs>
                    <w:ind w:left="0"/>
                  </w:pPr>
                </w:p>
              </w:txbxContent>
            </v:textbox>
          </v:roundrect>
        </w:pict>
      </w:r>
      <w:r>
        <w:rPr>
          <w:noProof/>
        </w:rPr>
        <w:pict>
          <v:roundrect id="_x0000_s1079" style="position:absolute;margin-left:822.35pt;margin-top:9.7pt;width:100pt;height:444.5pt;z-index:-251620352" arcsize="10923f">
            <v:textbox style="mso-next-textbox:#_x0000_s1079" inset="1.44pt,0,1.44pt,0">
              <w:txbxContent>
                <w:p w:rsidR="00445821" w:rsidRDefault="00445821" w:rsidP="00445821">
                  <w:pPr>
                    <w:pStyle w:val="ListParagraph"/>
                    <w:numPr>
                      <w:ilvl w:val="0"/>
                      <w:numId w:val="19"/>
                    </w:numPr>
                  </w:pPr>
                  <w:r>
                    <w:t>Surveys of methodologies and assessment strategies</w:t>
                  </w:r>
                </w:p>
                <w:p w:rsidR="00445821" w:rsidRDefault="00445821" w:rsidP="00445821">
                  <w:pPr>
                    <w:pStyle w:val="ListParagraph"/>
                    <w:ind w:left="360"/>
                  </w:pPr>
                </w:p>
                <w:p w:rsidR="00445821" w:rsidRDefault="00445821" w:rsidP="00445821">
                  <w:pPr>
                    <w:pStyle w:val="ListParagraph"/>
                    <w:numPr>
                      <w:ilvl w:val="0"/>
                      <w:numId w:val="19"/>
                    </w:numPr>
                  </w:pPr>
                  <w:r>
                    <w:t>Rates of participation in activities and strategies, including rates of usage of online tools</w:t>
                  </w:r>
                </w:p>
                <w:p w:rsidR="00445821" w:rsidRDefault="00445821" w:rsidP="00445821"/>
                <w:p w:rsidR="00445821" w:rsidRDefault="00445821" w:rsidP="00445821">
                  <w:pPr>
                    <w:pStyle w:val="ListParagraph"/>
                    <w:numPr>
                      <w:ilvl w:val="0"/>
                      <w:numId w:val="19"/>
                    </w:numPr>
                  </w:pPr>
                  <w:r>
                    <w:t>Pre- and post-surveys that assess the goals of each focus area</w:t>
                  </w:r>
                </w:p>
                <w:p w:rsidR="00445821" w:rsidRDefault="00445821" w:rsidP="00445821">
                  <w:pPr>
                    <w:pStyle w:val="ListParagraph"/>
                    <w:ind w:left="360"/>
                  </w:pPr>
                </w:p>
                <w:p w:rsidR="00445821" w:rsidRDefault="00445821" w:rsidP="00445821">
                  <w:pPr>
                    <w:pStyle w:val="ListParagraph"/>
                    <w:numPr>
                      <w:ilvl w:val="0"/>
                      <w:numId w:val="19"/>
                    </w:numPr>
                  </w:pPr>
                  <w:r>
                    <w:t>AIMS/AIKIS faculty development data</w:t>
                  </w:r>
                </w:p>
                <w:p w:rsidR="00445821" w:rsidRDefault="00445821" w:rsidP="00445821">
                  <w:pPr>
                    <w:pStyle w:val="ListParagraph"/>
                    <w:ind w:left="360"/>
                  </w:pPr>
                </w:p>
                <w:p w:rsidR="00445821" w:rsidRDefault="00445821" w:rsidP="00445821">
                  <w:pPr>
                    <w:pStyle w:val="ListParagraph"/>
                    <w:numPr>
                      <w:ilvl w:val="0"/>
                      <w:numId w:val="19"/>
                    </w:numPr>
                  </w:pPr>
                  <w:r>
                    <w:t>Faculty evaluation and self-assessment data</w:t>
                  </w:r>
                </w:p>
                <w:p w:rsidR="00445821" w:rsidRDefault="00445821" w:rsidP="00445821"/>
                <w:p w:rsidR="00445821" w:rsidRDefault="00445821" w:rsidP="00F7074C">
                  <w:pPr>
                    <w:pStyle w:val="ListParagraph"/>
                    <w:tabs>
                      <w:tab w:val="left" w:pos="0"/>
                    </w:tabs>
                    <w:ind w:left="0"/>
                  </w:pPr>
                </w:p>
              </w:txbxContent>
            </v:textbox>
          </v:roundrect>
        </w:pict>
      </w:r>
    </w:p>
    <w:p w:rsidR="00B75410" w:rsidRDefault="005657BE" w:rsidP="00B75410">
      <w:pPr>
        <w:pStyle w:val="ListParagraph"/>
        <w:tabs>
          <w:tab w:val="left" w:pos="0"/>
        </w:tabs>
        <w:ind w:left="0"/>
      </w:pPr>
      <w:r>
        <w:rPr>
          <w:noProof/>
        </w:rPr>
        <w:pict>
          <v:shape id="_x0000_s1062" type="#_x0000_t32" style="position:absolute;margin-left:370.25pt;margin-top:347.55pt;width:28.1pt;height:0;z-index:251688960" o:connectortype="straight">
            <v:stroke endarrow="block"/>
          </v:shape>
        </w:pict>
      </w:r>
    </w:p>
    <w:p w:rsidR="00B75410" w:rsidRDefault="005657BE" w:rsidP="00B75410">
      <w:pPr>
        <w:pStyle w:val="ListParagraph"/>
        <w:tabs>
          <w:tab w:val="left" w:pos="0"/>
        </w:tabs>
        <w:ind w:left="0"/>
      </w:pPr>
      <w:r>
        <w:rPr>
          <w:noProof/>
        </w:rPr>
        <w:pict>
          <v:roundrect id="_x0000_s1055" style="position:absolute;margin-left:402.65pt;margin-top:8.9pt;width:163.15pt;height:77.5pt;z-index:-251634688" arcsize="10923f">
            <v:textbox style="mso-next-textbox:#_x0000_s1055" inset="1.44pt,0,1.44pt,0">
              <w:txbxContent>
                <w:p w:rsidR="003E11FB" w:rsidRDefault="003E11FB" w:rsidP="003E11FB">
                  <w:r>
                    <w:t xml:space="preserve">Faculty skilled in </w:t>
                  </w:r>
                  <w:r w:rsidR="0045672E">
                    <w:t xml:space="preserve">teaching methodologies and </w:t>
                  </w:r>
                  <w:r>
                    <w:t xml:space="preserve">incorporating </w:t>
                  </w:r>
                  <w:r w:rsidR="0045672E">
                    <w:t>appropriate cultural/tribal content and approaches</w:t>
                  </w:r>
                </w:p>
              </w:txbxContent>
            </v:textbox>
          </v:roundrect>
        </w:pict>
      </w:r>
      <w:r>
        <w:rPr>
          <w:noProof/>
        </w:rPr>
        <w:pict>
          <v:roundrect id="_x0000_s1034" style="position:absolute;margin-left:137.85pt;margin-top:8.9pt;width:217.45pt;height:82.45pt;z-index:-251651072" arcsize="10923f">
            <v:textbox style="mso-next-textbox:#_x0000_s1034" inset="1.44pt,0,1.44pt,0">
              <w:txbxContent>
                <w:p w:rsidR="00CF1680" w:rsidRDefault="00236622" w:rsidP="00236622">
                  <w:pPr>
                    <w:pStyle w:val="ListParagraph"/>
                    <w:numPr>
                      <w:ilvl w:val="0"/>
                      <w:numId w:val="14"/>
                    </w:numPr>
                  </w:pPr>
                  <w:r>
                    <w:t xml:space="preserve">Action research </w:t>
                  </w:r>
                  <w:r w:rsidR="00DC4ED9">
                    <w:t xml:space="preserve"> </w:t>
                  </w:r>
                  <w:r w:rsidR="00CF1680">
                    <w:t>projects</w:t>
                  </w:r>
                </w:p>
                <w:p w:rsidR="00236622" w:rsidRDefault="00CF1680" w:rsidP="00236622">
                  <w:pPr>
                    <w:pStyle w:val="ListParagraph"/>
                    <w:numPr>
                      <w:ilvl w:val="0"/>
                      <w:numId w:val="14"/>
                    </w:numPr>
                  </w:pPr>
                  <w:r>
                    <w:t>I</w:t>
                  </w:r>
                  <w:r w:rsidR="00DC4ED9">
                    <w:t xml:space="preserve">ndividual studies </w:t>
                  </w:r>
                  <w:r w:rsidR="00236622">
                    <w:t>projects</w:t>
                  </w:r>
                </w:p>
                <w:p w:rsidR="00236622" w:rsidRDefault="00236622" w:rsidP="00236622">
                  <w:pPr>
                    <w:pStyle w:val="ListParagraph"/>
                    <w:numPr>
                      <w:ilvl w:val="0"/>
                      <w:numId w:val="14"/>
                    </w:numPr>
                  </w:pPr>
                  <w:r>
                    <w:t>Toolkit –supplement/update</w:t>
                  </w:r>
                </w:p>
                <w:p w:rsidR="00236622" w:rsidRDefault="00236622" w:rsidP="00236622">
                  <w:pPr>
                    <w:pStyle w:val="ListParagraph"/>
                    <w:numPr>
                      <w:ilvl w:val="0"/>
                      <w:numId w:val="14"/>
                    </w:numPr>
                  </w:pPr>
                  <w:r>
                    <w:t>In-services – methodologies</w:t>
                  </w:r>
                </w:p>
                <w:p w:rsidR="00236622" w:rsidRDefault="00236622" w:rsidP="00236622">
                  <w:pPr>
                    <w:pStyle w:val="ListParagraph"/>
                    <w:numPr>
                      <w:ilvl w:val="0"/>
                      <w:numId w:val="14"/>
                    </w:numPr>
                  </w:pPr>
                  <w:r>
                    <w:t>Teaching and Learning Institute</w:t>
                  </w:r>
                </w:p>
              </w:txbxContent>
            </v:textbox>
          </v:roundrect>
        </w:pict>
      </w:r>
    </w:p>
    <w:p w:rsidR="00B75410" w:rsidRDefault="005657BE" w:rsidP="00B75410">
      <w:pPr>
        <w:pStyle w:val="ListParagraph"/>
        <w:tabs>
          <w:tab w:val="left" w:pos="0"/>
        </w:tabs>
        <w:ind w:left="0"/>
      </w:pPr>
      <w:r>
        <w:rPr>
          <w:noProof/>
        </w:rPr>
        <w:pict>
          <v:roundrect id="_x0000_s1028" style="position:absolute;margin-left:-17.25pt;margin-top:1.6pt;width:128.1pt;height:71.15pt;z-index:-251656192" arcsize="10923f">
            <v:textbox style="mso-next-textbox:#_x0000_s1028" inset="1.44pt,0,1.44pt,0">
              <w:txbxContent>
                <w:p w:rsidR="00295433" w:rsidRDefault="00860F9C" w:rsidP="005D5922">
                  <w:pPr>
                    <w:pStyle w:val="ListParagraph"/>
                    <w:tabs>
                      <w:tab w:val="left" w:pos="0"/>
                    </w:tabs>
                    <w:ind w:left="0"/>
                  </w:pPr>
                  <w:proofErr w:type="gramStart"/>
                  <w:r>
                    <w:t>2.Teaching</w:t>
                  </w:r>
                  <w:proofErr w:type="gramEnd"/>
                  <w:r>
                    <w:t xml:space="preserve"> &amp;</w:t>
                  </w:r>
                  <w:r w:rsidR="00295433">
                    <w:t xml:space="preserve"> Learning  </w:t>
                  </w:r>
                </w:p>
                <w:p w:rsidR="00295433" w:rsidRDefault="00295433" w:rsidP="006B7695">
                  <w:pPr>
                    <w:pStyle w:val="ListParagraph"/>
                    <w:tabs>
                      <w:tab w:val="left" w:pos="0"/>
                    </w:tabs>
                    <w:ind w:left="0"/>
                  </w:pPr>
                  <w:r>
                    <w:t xml:space="preserve">Methodologies </w:t>
                  </w:r>
                  <w:r w:rsidR="00BE7DD8">
                    <w:t xml:space="preserve">and </w:t>
                  </w:r>
                  <w:r w:rsidRPr="006B7695">
                    <w:t xml:space="preserve"> </w:t>
                  </w:r>
                </w:p>
                <w:p w:rsidR="00295433" w:rsidRDefault="00860F9C" w:rsidP="006B7695">
                  <w:pPr>
                    <w:pStyle w:val="ListParagraph"/>
                    <w:tabs>
                      <w:tab w:val="left" w:pos="0"/>
                    </w:tabs>
                    <w:ind w:left="0"/>
                  </w:pPr>
                  <w:r>
                    <w:t>Practice</w:t>
                  </w:r>
                  <w:r w:rsidR="00BE7DD8">
                    <w:t>s</w:t>
                  </w:r>
                  <w:r>
                    <w:t xml:space="preserve"> of </w:t>
                  </w:r>
                  <w:r w:rsidR="00295433">
                    <w:t xml:space="preserve">Cultural integration </w:t>
                  </w:r>
                </w:p>
                <w:p w:rsidR="00295433" w:rsidRDefault="00295433" w:rsidP="005D5922">
                  <w:pPr>
                    <w:pStyle w:val="ListParagraph"/>
                    <w:tabs>
                      <w:tab w:val="left" w:pos="0"/>
                    </w:tabs>
                    <w:ind w:left="0"/>
                  </w:pPr>
                </w:p>
                <w:p w:rsidR="00295433" w:rsidRPr="005D5922" w:rsidRDefault="00295433" w:rsidP="005D5922"/>
              </w:txbxContent>
            </v:textbox>
          </v:roundrect>
        </w:pict>
      </w:r>
    </w:p>
    <w:p w:rsidR="00B75410" w:rsidRDefault="005657BE" w:rsidP="00B75410">
      <w:pPr>
        <w:pStyle w:val="ListParagraph"/>
        <w:tabs>
          <w:tab w:val="left" w:pos="0"/>
        </w:tabs>
        <w:ind w:left="0"/>
      </w:pPr>
      <w:r>
        <w:rPr>
          <w:noProof/>
        </w:rPr>
        <w:pict>
          <v:shape id="_x0000_s1078" type="#_x0000_t32" style="position:absolute;margin-left:571.8pt;margin-top:12.5pt;width:42.45pt;height:14.65pt;z-index:251695104" o:connectortype="straight">
            <v:stroke endarrow="block"/>
          </v:shape>
        </w:pict>
      </w:r>
    </w:p>
    <w:p w:rsidR="00AC434D" w:rsidRDefault="005657BE" w:rsidP="006B7695">
      <w:pPr>
        <w:pStyle w:val="ListParagraph"/>
        <w:tabs>
          <w:tab w:val="left" w:pos="0"/>
        </w:tabs>
        <w:ind w:left="0"/>
      </w:pPr>
      <w:r>
        <w:rPr>
          <w:noProof/>
        </w:rPr>
        <w:pict>
          <v:shape id="_x0000_s1056" type="#_x0000_t32" style="position:absolute;margin-left:370.25pt;margin-top:9.3pt;width:28.1pt;height:0;z-index:251682816" o:connectortype="straight">
            <v:stroke endarrow="block"/>
          </v:shape>
        </w:pict>
      </w:r>
      <w:r>
        <w:rPr>
          <w:noProof/>
        </w:rPr>
        <w:pict>
          <v:shape id="_x0000_s1045" type="#_x0000_t32" style="position:absolute;margin-left:115.15pt;margin-top:9.3pt;width:22.7pt;height:.05pt;z-index:251674624" o:connectortype="straight">
            <v:stroke endarrow="block"/>
          </v:shape>
        </w:pict>
      </w:r>
    </w:p>
    <w:p w:rsidR="00AC434D" w:rsidRDefault="00AC434D"/>
    <w:p w:rsidR="00AC434D" w:rsidRDefault="00AC434D"/>
    <w:p w:rsidR="00AC434D" w:rsidRDefault="005657BE">
      <w:pPr>
        <w:rPr>
          <w:u w:val="single"/>
        </w:rPr>
      </w:pPr>
      <w:r w:rsidRPr="005657BE">
        <w:rPr>
          <w:noProof/>
        </w:rPr>
        <w:pict>
          <v:roundrect id="_x0000_s1063" style="position:absolute;margin-left:398.55pt;margin-top:8.55pt;width:163.15pt;height:77.5pt;z-index:-251626496" arcsize="10923f">
            <v:textbox style="mso-next-textbox:#_x0000_s1063" inset="1.44pt,0,1.44pt,0">
              <w:txbxContent>
                <w:p w:rsidR="00F7074C" w:rsidRDefault="00F7074C" w:rsidP="003E11FB">
                  <w:proofErr w:type="gramStart"/>
                  <w:r>
                    <w:t>Faculty h</w:t>
                  </w:r>
                  <w:r w:rsidR="00766CEB">
                    <w:t>ave</w:t>
                  </w:r>
                  <w:proofErr w:type="gramEnd"/>
                  <w:r w:rsidR="00766CEB">
                    <w:t xml:space="preserve"> k</w:t>
                  </w:r>
                  <w:r>
                    <w:t xml:space="preserve">nowledge and skills </w:t>
                  </w:r>
                  <w:r w:rsidR="00766CEB">
                    <w:t xml:space="preserve">necessary </w:t>
                  </w:r>
                  <w:r>
                    <w:t xml:space="preserve">to teach at a tribal college and faculty have </w:t>
                  </w:r>
                  <w:r w:rsidR="00695C94">
                    <w:t>strengthened learning community</w:t>
                  </w:r>
                </w:p>
              </w:txbxContent>
            </v:textbox>
          </v:roundrect>
        </w:pict>
      </w:r>
    </w:p>
    <w:p w:rsidR="005D5922" w:rsidRDefault="005657BE">
      <w:pPr>
        <w:rPr>
          <w:u w:val="single"/>
        </w:rPr>
      </w:pPr>
      <w:r w:rsidRPr="005657BE">
        <w:rPr>
          <w:noProof/>
        </w:rPr>
        <w:pict>
          <v:roundrect id="_x0000_s1061" style="position:absolute;margin-left:402.65pt;margin-top:211.25pt;width:159.05pt;height:61pt;z-index:-251628544" arcsize="10923f">
            <v:textbox style="mso-next-textbox:#_x0000_s1061" inset="1.44pt,0,1.44pt,0">
              <w:txbxContent>
                <w:p w:rsidR="003E11FB" w:rsidRPr="00695C94" w:rsidRDefault="00695C94" w:rsidP="00695C94">
                  <w:r>
                    <w:t>Faculty will increase their content expertise and teaching and learning knowledge and skills</w:t>
                  </w:r>
                </w:p>
              </w:txbxContent>
            </v:textbox>
          </v:roundrect>
        </w:pict>
      </w:r>
      <w:r w:rsidRPr="005657BE">
        <w:rPr>
          <w:noProof/>
        </w:rPr>
        <w:pict>
          <v:roundrect id="_x0000_s1059" style="position:absolute;margin-left:394.95pt;margin-top:90.25pt;width:159.05pt;height:110.7pt;z-index:-251630592" arcsize="10923f">
            <v:textbox style="mso-next-textbox:#_x0000_s1059" inset="1.44pt,0,1.44pt,0">
              <w:txbxContent>
                <w:p w:rsidR="003E11FB" w:rsidRDefault="003E11FB" w:rsidP="003E11FB">
                  <w:r>
                    <w:t>Faculty skill</w:t>
                  </w:r>
                  <w:r w:rsidR="00F7074C">
                    <w:t>ed</w:t>
                  </w:r>
                  <w:r>
                    <w:t xml:space="preserve"> in </w:t>
                  </w:r>
                  <w:r w:rsidR="00F7074C">
                    <w:t xml:space="preserve">all aspects of research that supports the College mission and goals and research results disseminated to tribal and other appropriate </w:t>
                  </w:r>
                  <w:r w:rsidR="00335AF5">
                    <w:t>communities</w:t>
                  </w:r>
                </w:p>
              </w:txbxContent>
            </v:textbox>
          </v:roundrect>
        </w:pict>
      </w:r>
      <w:r w:rsidRPr="005657BE">
        <w:rPr>
          <w:noProof/>
        </w:rPr>
        <w:pict>
          <v:shape id="_x0000_s1058" type="#_x0000_t32" style="position:absolute;margin-left:358.45pt;margin-top:34.45pt;width:28.1pt;height:0;z-index:251684864" o:connectortype="straight">
            <v:stroke endarrow="block"/>
          </v:shape>
        </w:pict>
      </w:r>
      <w:r w:rsidRPr="005657BE">
        <w:rPr>
          <w:noProof/>
        </w:rPr>
        <w:pict>
          <v:roundrect id="_x0000_s1048" style="position:absolute;margin-left:141.6pt;margin-top:11.2pt;width:213.7pt;height:58.7pt;z-index:-251640832" arcsize="10923f">
            <v:textbox style="mso-next-textbox:#_x0000_s1048" inset="1.44pt,0,1.44pt,0">
              <w:txbxContent>
                <w:p w:rsidR="00236622" w:rsidRDefault="00C8788B" w:rsidP="00236622">
                  <w:pPr>
                    <w:pStyle w:val="ListParagraph"/>
                    <w:numPr>
                      <w:ilvl w:val="0"/>
                      <w:numId w:val="14"/>
                    </w:numPr>
                  </w:pPr>
                  <w:r>
                    <w:t xml:space="preserve">Training for new and </w:t>
                  </w:r>
                  <w:r w:rsidR="00236622">
                    <w:t>developing faculty</w:t>
                  </w:r>
                </w:p>
                <w:p w:rsidR="00236622" w:rsidRDefault="00236622" w:rsidP="00236622">
                  <w:pPr>
                    <w:pStyle w:val="ListParagraph"/>
                    <w:numPr>
                      <w:ilvl w:val="0"/>
                      <w:numId w:val="14"/>
                    </w:numPr>
                  </w:pPr>
                  <w:r>
                    <w:t>Mentoring program</w:t>
                  </w:r>
                </w:p>
                <w:p w:rsidR="006764B6" w:rsidRDefault="006764B6" w:rsidP="005D5922"/>
              </w:txbxContent>
            </v:textbox>
          </v:roundrect>
        </w:pict>
      </w:r>
      <w:r w:rsidRPr="005657BE">
        <w:rPr>
          <w:noProof/>
        </w:rPr>
        <w:pict>
          <v:roundrect id="_x0000_s1049" style="position:absolute;margin-left:136.1pt;margin-top:96.35pt;width:216.4pt;height:77.95pt;z-index:-251639808" arcsize="10923f">
            <v:textbox style="mso-next-textbox:#_x0000_s1049" inset="1.44pt,0,1.44pt,0">
              <w:txbxContent>
                <w:p w:rsidR="006764B6" w:rsidRDefault="004771A0" w:rsidP="004771A0">
                  <w:pPr>
                    <w:pStyle w:val="ListParagraph"/>
                    <w:numPr>
                      <w:ilvl w:val="0"/>
                      <w:numId w:val="16"/>
                    </w:numPr>
                  </w:pPr>
                  <w:r>
                    <w:t>Trainings on how to conduct, present and publish research</w:t>
                  </w:r>
                </w:p>
                <w:p w:rsidR="004771A0" w:rsidRDefault="004771A0" w:rsidP="004771A0">
                  <w:pPr>
                    <w:pStyle w:val="ListParagraph"/>
                    <w:numPr>
                      <w:ilvl w:val="0"/>
                      <w:numId w:val="16"/>
                    </w:numPr>
                  </w:pPr>
                  <w:r>
                    <w:t xml:space="preserve">Support for individual and group research </w:t>
                  </w:r>
                  <w:r w:rsidR="00B67902">
                    <w:t>work through action research and individual studies projects</w:t>
                  </w:r>
                </w:p>
              </w:txbxContent>
            </v:textbox>
          </v:roundrect>
        </w:pict>
      </w:r>
      <w:r w:rsidRPr="005657BE">
        <w:rPr>
          <w:noProof/>
        </w:rPr>
        <w:pict>
          <v:shape id="_x0000_s1085" type="#_x0000_t32" style="position:absolute;margin-left:571.8pt;margin-top:192.45pt;width:39.45pt;height:49pt;flip:y;z-index:251702272" o:connectortype="straight">
            <v:stroke endarrow="block"/>
          </v:shape>
        </w:pict>
      </w:r>
      <w:r w:rsidRPr="005657BE">
        <w:rPr>
          <w:noProof/>
        </w:rPr>
        <w:pict>
          <v:shape id="_x0000_s1084" type="#_x0000_t32" style="position:absolute;margin-left:571.8pt;margin-top:27.35pt;width:39.45pt;height:0;z-index:251701248" o:connectortype="straight">
            <v:stroke endarrow="block"/>
          </v:shape>
        </w:pict>
      </w:r>
      <w:r w:rsidRPr="005657BE">
        <w:rPr>
          <w:noProof/>
        </w:rPr>
        <w:pict>
          <v:shape id="_x0000_s1082" type="#_x0000_t32" style="position:absolute;margin-left:561.7pt;margin-top:115.6pt;width:46.55pt;height:21.45pt;flip:y;z-index:251699200" o:connectortype="straight">
            <v:stroke endarrow="block"/>
          </v:shape>
        </w:pict>
      </w:r>
      <w:r w:rsidRPr="005657BE">
        <w:rPr>
          <w:noProof/>
        </w:rPr>
        <w:pict>
          <v:roundrect id="_x0000_s1030" style="position:absolute;margin-left:-3.2pt;margin-top:115.6pt;width:111.2pt;height:44.75pt;z-index:-251654144" arcsize="10923f">
            <v:textbox style="mso-next-textbox:#_x0000_s1030" inset="1.44pt,0,1.44pt,0">
              <w:txbxContent>
                <w:p w:rsidR="00295433" w:rsidRDefault="00860F9C" w:rsidP="005D5922">
                  <w:pPr>
                    <w:pStyle w:val="ListParagraph"/>
                    <w:tabs>
                      <w:tab w:val="left" w:pos="0"/>
                    </w:tabs>
                    <w:ind w:left="0"/>
                  </w:pPr>
                  <w:r>
                    <w:t>4.</w:t>
                  </w:r>
                  <w:r w:rsidR="00295433">
                    <w:t xml:space="preserve"> Scholarship of </w:t>
                  </w:r>
                </w:p>
                <w:p w:rsidR="00295433" w:rsidRDefault="00295433" w:rsidP="005D5922">
                  <w:pPr>
                    <w:pStyle w:val="ListParagraph"/>
                    <w:tabs>
                      <w:tab w:val="left" w:pos="0"/>
                    </w:tabs>
                    <w:ind w:left="0"/>
                  </w:pPr>
                  <w:r>
                    <w:t>Teaching and Learning</w:t>
                  </w:r>
                </w:p>
                <w:p w:rsidR="00295433" w:rsidRPr="005D5922" w:rsidRDefault="00295433" w:rsidP="005D5922"/>
              </w:txbxContent>
            </v:textbox>
          </v:roundrect>
        </w:pict>
      </w:r>
      <w:r w:rsidRPr="005657BE">
        <w:rPr>
          <w:noProof/>
        </w:rPr>
        <w:pict>
          <v:shape id="_x0000_s1052" type="#_x0000_t32" style="position:absolute;margin-left:110.7pt;margin-top:137.6pt;width:22.7pt;height:.05pt;z-index:251679744" o:connectortype="straight">
            <v:stroke endarrow="block"/>
          </v:shape>
        </w:pict>
      </w:r>
      <w:r w:rsidRPr="005657BE">
        <w:rPr>
          <w:noProof/>
        </w:rPr>
        <w:pict>
          <v:shape id="_x0000_s1060" type="#_x0000_t32" style="position:absolute;margin-left:358.45pt;margin-top:137.65pt;width:28.1pt;height:0;z-index:251686912" o:connectortype="straight">
            <v:stroke endarrow="block"/>
          </v:shape>
        </w:pict>
      </w:r>
      <w:r w:rsidRPr="005657BE">
        <w:rPr>
          <w:noProof/>
        </w:rPr>
        <w:pict>
          <v:roundrect id="_x0000_s1044" style="position:absolute;margin-left:-3.2pt;margin-top:22.65pt;width:114.05pt;height:38.3pt;z-index:-251642880" arcsize="10923f">
            <v:textbox style="mso-next-textbox:#_x0000_s1044" inset="1.44pt,0,1.44pt,0">
              <w:txbxContent>
                <w:p w:rsidR="00295433" w:rsidRDefault="00860F9C" w:rsidP="005D5922">
                  <w:pPr>
                    <w:pStyle w:val="ListParagraph"/>
                    <w:tabs>
                      <w:tab w:val="left" w:pos="0"/>
                    </w:tabs>
                    <w:ind w:left="0"/>
                  </w:pPr>
                  <w:proofErr w:type="gramStart"/>
                  <w:r>
                    <w:t>3.</w:t>
                  </w:r>
                  <w:r w:rsidR="00295433">
                    <w:t>Faculty</w:t>
                  </w:r>
                  <w:proofErr w:type="gramEnd"/>
                  <w:r w:rsidR="00295433">
                    <w:t xml:space="preserve"> Orientation and Mentoring</w:t>
                  </w:r>
                </w:p>
                <w:p w:rsidR="00295433" w:rsidRPr="005D5922" w:rsidRDefault="00295433" w:rsidP="005D5922"/>
              </w:txbxContent>
            </v:textbox>
          </v:roundrect>
        </w:pict>
      </w:r>
      <w:r w:rsidRPr="005657BE">
        <w:rPr>
          <w:noProof/>
        </w:rPr>
        <w:pict>
          <v:shape id="_x0000_s1051" type="#_x0000_t32" style="position:absolute;margin-left:118.9pt;margin-top:42.15pt;width:18.95pt;height:.05pt;z-index:251678720" o:connectortype="straight">
            <v:stroke endarrow="block"/>
          </v:shape>
        </w:pict>
      </w:r>
      <w:r w:rsidRPr="005657BE">
        <w:rPr>
          <w:noProof/>
        </w:rPr>
        <w:pict>
          <v:shape id="_x0000_s1054" type="#_x0000_t32" style="position:absolute;margin-left:107.75pt;margin-top:233.95pt;width:22.7pt;height:.05pt;z-index:251680768" o:connectortype="straight">
            <v:stroke endarrow="block"/>
          </v:shape>
        </w:pict>
      </w:r>
      <w:r w:rsidRPr="005657BE">
        <w:rPr>
          <w:noProof/>
        </w:rPr>
        <w:pict>
          <v:roundrect id="_x0000_s1031" style="position:absolute;margin-left:-8.75pt;margin-top:220pt;width:107.55pt;height:38.3pt;z-index:-251653120" arcsize="10923f">
            <v:textbox style="mso-next-textbox:#_x0000_s1031" inset="1.44pt,0,1.44pt,0">
              <w:txbxContent>
                <w:p w:rsidR="00295433" w:rsidRDefault="00860F9C" w:rsidP="005D5922">
                  <w:pPr>
                    <w:pStyle w:val="ListParagraph"/>
                    <w:tabs>
                      <w:tab w:val="left" w:pos="0"/>
                    </w:tabs>
                    <w:ind w:left="0"/>
                  </w:pPr>
                  <w:proofErr w:type="gramStart"/>
                  <w:r>
                    <w:t>5.</w:t>
                  </w:r>
                  <w:r w:rsidR="00295433">
                    <w:t>Professional</w:t>
                  </w:r>
                  <w:proofErr w:type="gramEnd"/>
                  <w:r w:rsidR="00295433">
                    <w:t xml:space="preserve"> Development </w:t>
                  </w:r>
                </w:p>
                <w:p w:rsidR="00295433" w:rsidRPr="005D5922" w:rsidRDefault="00295433" w:rsidP="005D5922"/>
              </w:txbxContent>
            </v:textbox>
          </v:roundrect>
        </w:pict>
      </w:r>
      <w:r w:rsidRPr="005657BE">
        <w:rPr>
          <w:noProof/>
        </w:rPr>
        <w:pict>
          <v:roundrect id="_x0000_s1050" style="position:absolute;margin-left:136.1pt;margin-top:188.8pt;width:219.2pt;height:92.4pt;z-index:-251638784" arcsize="10923f">
            <v:textbox style="mso-next-textbox:#_x0000_s1050" inset="1.44pt,0,1.44pt,0">
              <w:txbxContent>
                <w:p w:rsidR="004771A0" w:rsidRDefault="004771A0" w:rsidP="004771A0">
                  <w:pPr>
                    <w:pStyle w:val="ListParagraph"/>
                    <w:numPr>
                      <w:ilvl w:val="0"/>
                      <w:numId w:val="17"/>
                    </w:numPr>
                  </w:pPr>
                  <w:r>
                    <w:t>Support for</w:t>
                  </w:r>
                  <w:r w:rsidR="00B67902">
                    <w:t>:</w:t>
                  </w:r>
                  <w:r>
                    <w:t xml:space="preserve"> </w:t>
                  </w:r>
                </w:p>
                <w:p w:rsidR="004771A0" w:rsidRDefault="004771A0" w:rsidP="004771A0">
                  <w:pPr>
                    <w:pStyle w:val="ListParagraph"/>
                    <w:ind w:left="360"/>
                  </w:pPr>
                  <w:r>
                    <w:t>-advanced study for Native faculty</w:t>
                  </w:r>
                </w:p>
                <w:p w:rsidR="006764B6" w:rsidRDefault="004771A0" w:rsidP="004771A0">
                  <w:pPr>
                    <w:pStyle w:val="ListParagraph"/>
                    <w:ind w:left="360"/>
                  </w:pPr>
                  <w:proofErr w:type="gramStart"/>
                  <w:r>
                    <w:t>-individual and group prof. dev.</w:t>
                  </w:r>
                  <w:proofErr w:type="gramEnd"/>
                </w:p>
                <w:p w:rsidR="004771A0" w:rsidRDefault="004771A0" w:rsidP="004771A0">
                  <w:pPr>
                    <w:pStyle w:val="ListParagraph"/>
                    <w:ind w:left="360"/>
                  </w:pPr>
                  <w:r>
                    <w:t>-conference, workshop, train</w:t>
                  </w:r>
                  <w:r w:rsidR="00DC78F5">
                    <w:t>in</w:t>
                  </w:r>
                  <w:r>
                    <w:t>g attendance</w:t>
                  </w:r>
                  <w:r w:rsidR="00F7074C">
                    <w:t xml:space="preserve"> for</w:t>
                  </w:r>
                  <w:r w:rsidR="0045672E">
                    <w:t xml:space="preserve"> content area </w:t>
                  </w:r>
                  <w:r w:rsidR="00F7074C">
                    <w:t>or</w:t>
                  </w:r>
                  <w:r w:rsidR="0045672E">
                    <w:t xml:space="preserve"> teaching</w:t>
                  </w:r>
                </w:p>
                <w:p w:rsidR="004771A0" w:rsidRDefault="004771A0" w:rsidP="004771A0">
                  <w:pPr>
                    <w:pStyle w:val="ListParagraph"/>
                    <w:ind w:left="360"/>
                  </w:pPr>
                  <w:r>
                    <w:t>-</w:t>
                  </w:r>
                  <w:r w:rsidR="00DC78F5">
                    <w:t>coursework for non-degree attain.</w:t>
                  </w:r>
                </w:p>
              </w:txbxContent>
            </v:textbox>
          </v:roundrect>
        </w:pict>
      </w:r>
      <w:r w:rsidR="006B7695">
        <w:rPr>
          <w:u w:val="single"/>
        </w:rPr>
        <w:t xml:space="preserve"> </w:t>
      </w:r>
      <w:r w:rsidR="005D5922">
        <w:rPr>
          <w:u w:val="single"/>
        </w:rPr>
        <w:br w:type="page"/>
      </w:r>
    </w:p>
    <w:p w:rsidR="00DA3199" w:rsidRDefault="00DA3199">
      <w:pPr>
        <w:rPr>
          <w:b/>
          <w:sz w:val="28"/>
          <w:szCs w:val="28"/>
        </w:rPr>
        <w:sectPr w:rsidR="00DA3199" w:rsidSect="00B75410">
          <w:pgSz w:w="15840" w:h="12240" w:orient="landscape" w:code="1"/>
          <w:pgMar w:top="720" w:right="720" w:bottom="720" w:left="720" w:header="432" w:footer="432" w:gutter="0"/>
          <w:cols w:space="720"/>
          <w:docGrid w:linePitch="360"/>
        </w:sectPr>
      </w:pPr>
    </w:p>
    <w:p w:rsidR="00AC434D" w:rsidRDefault="00D05FE9" w:rsidP="00D05FE9">
      <w:pPr>
        <w:rPr>
          <w:b/>
          <w:sz w:val="28"/>
          <w:szCs w:val="28"/>
        </w:rPr>
      </w:pPr>
      <w:r>
        <w:rPr>
          <w:b/>
          <w:sz w:val="28"/>
          <w:szCs w:val="28"/>
        </w:rPr>
        <w:lastRenderedPageBreak/>
        <w:t xml:space="preserve">Teaching and Learning Initiative </w:t>
      </w:r>
      <w:r w:rsidR="00AC434D" w:rsidRPr="00077E0E">
        <w:rPr>
          <w:b/>
          <w:sz w:val="28"/>
          <w:szCs w:val="28"/>
        </w:rPr>
        <w:t>Budget</w:t>
      </w:r>
      <w:r>
        <w:rPr>
          <w:b/>
          <w:sz w:val="28"/>
          <w:szCs w:val="28"/>
        </w:rPr>
        <w:t xml:space="preserve"> 2012-2017</w:t>
      </w:r>
    </w:p>
    <w:p w:rsidR="00D05FE9" w:rsidRDefault="00D05FE9" w:rsidP="00D05FE9">
      <w:r>
        <w:t>Annual Budget</w:t>
      </w:r>
    </w:p>
    <w:p w:rsidR="00D05FE9" w:rsidRDefault="00D05FE9" w:rsidP="00D05FE9"/>
    <w:bookmarkStart w:id="0" w:name="_MON_1404569984"/>
    <w:bookmarkEnd w:id="0"/>
    <w:p w:rsidR="00D05FE9" w:rsidRDefault="00BE7DD8" w:rsidP="00D05FE9">
      <w:r>
        <w:object w:dxaOrig="10100" w:dyaOrig="71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4.85pt;height:359.15pt" o:ole="">
            <v:imagedata r:id="rId9" o:title=""/>
          </v:shape>
          <o:OLEObject Type="Embed" ProgID="Excel.Sheet.12" ShapeID="_x0000_i1025" DrawAspect="Content" ObjectID="_1404738923" r:id="rId10"/>
        </w:object>
      </w:r>
    </w:p>
    <w:p w:rsidR="00AC434D" w:rsidRDefault="00AC434D"/>
    <w:sectPr w:rsidR="00AC434D" w:rsidSect="00DA3199">
      <w:pgSz w:w="12240" w:h="15840" w:code="1"/>
      <w:pgMar w:top="720" w:right="720" w:bottom="720" w:left="72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32CF" w:rsidRDefault="004532CF" w:rsidP="0010692E">
      <w:r>
        <w:separator/>
      </w:r>
    </w:p>
  </w:endnote>
  <w:endnote w:type="continuationSeparator" w:id="0">
    <w:p w:rsidR="004532CF" w:rsidRDefault="004532CF" w:rsidP="001069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433" w:rsidRPr="008A42D9" w:rsidRDefault="005657BE">
    <w:pPr>
      <w:pStyle w:val="Footer"/>
      <w:rPr>
        <w:rFonts w:asciiTheme="minorHAnsi" w:hAnsiTheme="minorHAnsi" w:cstheme="minorHAnsi"/>
        <w:i/>
        <w:sz w:val="18"/>
        <w:szCs w:val="18"/>
      </w:rPr>
    </w:pPr>
    <w:fldSimple w:instr=" FILENAME   \* MERGEFORMAT ">
      <w:r w:rsidR="00F34192">
        <w:rPr>
          <w:rFonts w:asciiTheme="minorHAnsi" w:hAnsiTheme="minorHAnsi" w:cstheme="minorHAnsi"/>
          <w:i/>
          <w:noProof/>
          <w:sz w:val="18"/>
          <w:szCs w:val="18"/>
        </w:rPr>
        <w:t>Teaching and Learning Initiative Plan 2012-2017  - FINAL DRAFT  7-25-12.docx</w:t>
      </w:r>
    </w:fldSimple>
    <w:r w:rsidR="00295433" w:rsidRPr="008A42D9">
      <w:rPr>
        <w:rFonts w:asciiTheme="minorHAnsi" w:hAnsiTheme="minorHAnsi" w:cstheme="minorHAnsi"/>
        <w:i/>
        <w:sz w:val="18"/>
        <w:szCs w:val="18"/>
      </w:rPr>
      <w:tab/>
    </w:r>
    <w:r w:rsidR="00295433" w:rsidRPr="008A42D9">
      <w:rPr>
        <w:rFonts w:asciiTheme="minorHAnsi" w:hAnsiTheme="minorHAnsi" w:cstheme="minorHAnsi"/>
        <w:i/>
        <w:sz w:val="18"/>
        <w:szCs w:val="18"/>
      </w:rPr>
      <w:tab/>
    </w:r>
    <w:r w:rsidRPr="008A42D9">
      <w:rPr>
        <w:rFonts w:asciiTheme="minorHAnsi" w:hAnsiTheme="minorHAnsi" w:cstheme="minorHAnsi"/>
        <w:i/>
        <w:sz w:val="18"/>
        <w:szCs w:val="18"/>
      </w:rPr>
      <w:fldChar w:fldCharType="begin"/>
    </w:r>
    <w:r w:rsidR="00295433" w:rsidRPr="008A42D9">
      <w:rPr>
        <w:rFonts w:asciiTheme="minorHAnsi" w:hAnsiTheme="minorHAnsi" w:cstheme="minorHAnsi"/>
        <w:i/>
        <w:sz w:val="18"/>
        <w:szCs w:val="18"/>
      </w:rPr>
      <w:instrText xml:space="preserve"> PAGE   \* MERGEFORMAT </w:instrText>
    </w:r>
    <w:r w:rsidRPr="008A42D9">
      <w:rPr>
        <w:rFonts w:asciiTheme="minorHAnsi" w:hAnsiTheme="minorHAnsi" w:cstheme="minorHAnsi"/>
        <w:i/>
        <w:sz w:val="18"/>
        <w:szCs w:val="18"/>
      </w:rPr>
      <w:fldChar w:fldCharType="separate"/>
    </w:r>
    <w:r w:rsidR="00F34192">
      <w:rPr>
        <w:rFonts w:asciiTheme="minorHAnsi" w:hAnsiTheme="minorHAnsi" w:cstheme="minorHAnsi"/>
        <w:i/>
        <w:noProof/>
        <w:sz w:val="18"/>
        <w:szCs w:val="18"/>
      </w:rPr>
      <w:t>1</w:t>
    </w:r>
    <w:r w:rsidRPr="008A42D9">
      <w:rPr>
        <w:rFonts w:asciiTheme="minorHAnsi" w:hAnsiTheme="minorHAnsi" w:cstheme="minorHAnsi"/>
        <w:i/>
        <w:sz w:val="18"/>
        <w:szCs w:val="18"/>
      </w:rPr>
      <w:fldChar w:fldCharType="end"/>
    </w:r>
    <w:r w:rsidR="00295433" w:rsidRPr="008A42D9">
      <w:rPr>
        <w:rFonts w:asciiTheme="minorHAnsi" w:hAnsiTheme="minorHAnsi" w:cstheme="minorHAnsi"/>
        <w:i/>
        <w:sz w:val="18"/>
        <w:szCs w:val="18"/>
      </w:rPr>
      <w:t xml:space="preserve"> of </w:t>
    </w:r>
    <w:fldSimple w:instr=" NUMPAGES   \* MERGEFORMAT ">
      <w:r w:rsidR="00F34192">
        <w:rPr>
          <w:rFonts w:asciiTheme="minorHAnsi" w:hAnsiTheme="minorHAnsi" w:cstheme="minorHAnsi"/>
          <w:i/>
          <w:noProof/>
          <w:sz w:val="18"/>
          <w:szCs w:val="18"/>
        </w:rPr>
        <w:t>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32CF" w:rsidRDefault="004532CF" w:rsidP="0010692E">
      <w:r>
        <w:separator/>
      </w:r>
    </w:p>
  </w:footnote>
  <w:footnote w:type="continuationSeparator" w:id="0">
    <w:p w:rsidR="004532CF" w:rsidRDefault="004532CF" w:rsidP="001069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83EA7"/>
    <w:multiLevelType w:val="hybridMultilevel"/>
    <w:tmpl w:val="902C6A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43565F7"/>
    <w:multiLevelType w:val="hybridMultilevel"/>
    <w:tmpl w:val="4962A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0E1F3F"/>
    <w:multiLevelType w:val="hybridMultilevel"/>
    <w:tmpl w:val="B89CBC0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7756B5F"/>
    <w:multiLevelType w:val="hybridMultilevel"/>
    <w:tmpl w:val="D42A0BCC"/>
    <w:lvl w:ilvl="0" w:tplc="1F3CCCD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B5E034A"/>
    <w:multiLevelType w:val="hybridMultilevel"/>
    <w:tmpl w:val="4962A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DF1D17"/>
    <w:multiLevelType w:val="hybridMultilevel"/>
    <w:tmpl w:val="4962A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66700D"/>
    <w:multiLevelType w:val="hybridMultilevel"/>
    <w:tmpl w:val="F8AA3A5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27E2EBC"/>
    <w:multiLevelType w:val="hybridMultilevel"/>
    <w:tmpl w:val="4962A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063AE9"/>
    <w:multiLevelType w:val="hybridMultilevel"/>
    <w:tmpl w:val="5FBC0F3C"/>
    <w:lvl w:ilvl="0" w:tplc="04090001">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E2B01D1"/>
    <w:multiLevelType w:val="hybridMultilevel"/>
    <w:tmpl w:val="B1F81C9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2D33AB5"/>
    <w:multiLevelType w:val="hybridMultilevel"/>
    <w:tmpl w:val="AC52723E"/>
    <w:lvl w:ilvl="0" w:tplc="F4028A6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431189C"/>
    <w:multiLevelType w:val="hybridMultilevel"/>
    <w:tmpl w:val="4962A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A97D37"/>
    <w:multiLevelType w:val="hybridMultilevel"/>
    <w:tmpl w:val="EAEAADC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75F15C7"/>
    <w:multiLevelType w:val="hybridMultilevel"/>
    <w:tmpl w:val="586EDD8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B883F0A"/>
    <w:multiLevelType w:val="hybridMultilevel"/>
    <w:tmpl w:val="92601874"/>
    <w:lvl w:ilvl="0" w:tplc="73FE59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8852DE"/>
    <w:multiLevelType w:val="hybridMultilevel"/>
    <w:tmpl w:val="4962A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444A60"/>
    <w:multiLevelType w:val="hybridMultilevel"/>
    <w:tmpl w:val="8820D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510926"/>
    <w:multiLevelType w:val="hybridMultilevel"/>
    <w:tmpl w:val="B7D4D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9B253F"/>
    <w:multiLevelType w:val="hybridMultilevel"/>
    <w:tmpl w:val="4962A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4"/>
  </w:num>
  <w:num w:numId="3">
    <w:abstractNumId w:val="8"/>
  </w:num>
  <w:num w:numId="4">
    <w:abstractNumId w:val="16"/>
  </w:num>
  <w:num w:numId="5">
    <w:abstractNumId w:val="10"/>
  </w:num>
  <w:num w:numId="6">
    <w:abstractNumId w:val="14"/>
  </w:num>
  <w:num w:numId="7">
    <w:abstractNumId w:val="3"/>
  </w:num>
  <w:num w:numId="8">
    <w:abstractNumId w:val="11"/>
  </w:num>
  <w:num w:numId="9">
    <w:abstractNumId w:val="15"/>
  </w:num>
  <w:num w:numId="10">
    <w:abstractNumId w:val="1"/>
  </w:num>
  <w:num w:numId="11">
    <w:abstractNumId w:val="5"/>
  </w:num>
  <w:num w:numId="12">
    <w:abstractNumId w:val="7"/>
  </w:num>
  <w:num w:numId="13">
    <w:abstractNumId w:val="17"/>
  </w:num>
  <w:num w:numId="14">
    <w:abstractNumId w:val="13"/>
  </w:num>
  <w:num w:numId="15">
    <w:abstractNumId w:val="12"/>
  </w:num>
  <w:num w:numId="16">
    <w:abstractNumId w:val="6"/>
  </w:num>
  <w:num w:numId="17">
    <w:abstractNumId w:val="9"/>
  </w:num>
  <w:num w:numId="18">
    <w:abstractNumId w:val="2"/>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isplayBackgroundShape/>
  <w:proofState w:spelling="clean" w:grammar="clean"/>
  <w:defaultTabStop w:val="720"/>
  <w:characterSpacingControl w:val="doNotCompress"/>
  <w:footnotePr>
    <w:footnote w:id="-1"/>
    <w:footnote w:id="0"/>
  </w:footnotePr>
  <w:endnotePr>
    <w:endnote w:id="-1"/>
    <w:endnote w:id="0"/>
  </w:endnotePr>
  <w:compat/>
  <w:rsids>
    <w:rsidRoot w:val="00945E3E"/>
    <w:rsid w:val="00004B9A"/>
    <w:rsid w:val="00007C3D"/>
    <w:rsid w:val="00026F4F"/>
    <w:rsid w:val="00031F60"/>
    <w:rsid w:val="00034E5D"/>
    <w:rsid w:val="00077E0E"/>
    <w:rsid w:val="0010692E"/>
    <w:rsid w:val="00123EB4"/>
    <w:rsid w:val="00125A6F"/>
    <w:rsid w:val="00127F42"/>
    <w:rsid w:val="00152CBC"/>
    <w:rsid w:val="00171C46"/>
    <w:rsid w:val="001D52F0"/>
    <w:rsid w:val="001E7493"/>
    <w:rsid w:val="00236622"/>
    <w:rsid w:val="002514D8"/>
    <w:rsid w:val="0025780F"/>
    <w:rsid w:val="00263A78"/>
    <w:rsid w:val="00286526"/>
    <w:rsid w:val="00295433"/>
    <w:rsid w:val="002C74D8"/>
    <w:rsid w:val="002E128F"/>
    <w:rsid w:val="002F3220"/>
    <w:rsid w:val="0032602B"/>
    <w:rsid w:val="00326A31"/>
    <w:rsid w:val="00335AF5"/>
    <w:rsid w:val="003471D7"/>
    <w:rsid w:val="003A11A7"/>
    <w:rsid w:val="003D6217"/>
    <w:rsid w:val="003E11FB"/>
    <w:rsid w:val="00415627"/>
    <w:rsid w:val="00434A79"/>
    <w:rsid w:val="00445821"/>
    <w:rsid w:val="004532CF"/>
    <w:rsid w:val="0045672E"/>
    <w:rsid w:val="00474D7E"/>
    <w:rsid w:val="004771A0"/>
    <w:rsid w:val="0048292A"/>
    <w:rsid w:val="00496394"/>
    <w:rsid w:val="004B0BDE"/>
    <w:rsid w:val="004B7799"/>
    <w:rsid w:val="004E2C97"/>
    <w:rsid w:val="004F66F6"/>
    <w:rsid w:val="00504280"/>
    <w:rsid w:val="005218E5"/>
    <w:rsid w:val="005657BE"/>
    <w:rsid w:val="005A16A1"/>
    <w:rsid w:val="005C3B06"/>
    <w:rsid w:val="005D5922"/>
    <w:rsid w:val="005D7A28"/>
    <w:rsid w:val="00623458"/>
    <w:rsid w:val="00653C33"/>
    <w:rsid w:val="00672B5B"/>
    <w:rsid w:val="006764B6"/>
    <w:rsid w:val="00683CB2"/>
    <w:rsid w:val="00695C94"/>
    <w:rsid w:val="006B5598"/>
    <w:rsid w:val="006B5E26"/>
    <w:rsid w:val="006B7695"/>
    <w:rsid w:val="00766CEB"/>
    <w:rsid w:val="00786E95"/>
    <w:rsid w:val="00794E93"/>
    <w:rsid w:val="007A52C0"/>
    <w:rsid w:val="007B4288"/>
    <w:rsid w:val="007C62F0"/>
    <w:rsid w:val="0080289E"/>
    <w:rsid w:val="00812B35"/>
    <w:rsid w:val="00860F9C"/>
    <w:rsid w:val="0086225E"/>
    <w:rsid w:val="008848A4"/>
    <w:rsid w:val="00893974"/>
    <w:rsid w:val="008A30BA"/>
    <w:rsid w:val="008A42D9"/>
    <w:rsid w:val="008D0FE8"/>
    <w:rsid w:val="008E5B0A"/>
    <w:rsid w:val="00922CAB"/>
    <w:rsid w:val="00931CC4"/>
    <w:rsid w:val="00932B25"/>
    <w:rsid w:val="00945923"/>
    <w:rsid w:val="00945E3E"/>
    <w:rsid w:val="00956A14"/>
    <w:rsid w:val="00957052"/>
    <w:rsid w:val="00972FFB"/>
    <w:rsid w:val="00980217"/>
    <w:rsid w:val="0099203F"/>
    <w:rsid w:val="0099778D"/>
    <w:rsid w:val="009D26AD"/>
    <w:rsid w:val="00A6616C"/>
    <w:rsid w:val="00A85D20"/>
    <w:rsid w:val="00A92753"/>
    <w:rsid w:val="00A97608"/>
    <w:rsid w:val="00AC434D"/>
    <w:rsid w:val="00AD0B3D"/>
    <w:rsid w:val="00AF4C12"/>
    <w:rsid w:val="00AF4F16"/>
    <w:rsid w:val="00B25125"/>
    <w:rsid w:val="00B368CC"/>
    <w:rsid w:val="00B419D9"/>
    <w:rsid w:val="00B446A2"/>
    <w:rsid w:val="00B67902"/>
    <w:rsid w:val="00B75410"/>
    <w:rsid w:val="00B91607"/>
    <w:rsid w:val="00B91D68"/>
    <w:rsid w:val="00B95438"/>
    <w:rsid w:val="00BA2BB1"/>
    <w:rsid w:val="00BE7DD8"/>
    <w:rsid w:val="00C50637"/>
    <w:rsid w:val="00C676BD"/>
    <w:rsid w:val="00C81CEE"/>
    <w:rsid w:val="00C8788B"/>
    <w:rsid w:val="00C96690"/>
    <w:rsid w:val="00CA2458"/>
    <w:rsid w:val="00CA24A5"/>
    <w:rsid w:val="00CC6CE9"/>
    <w:rsid w:val="00CF1680"/>
    <w:rsid w:val="00D05FE9"/>
    <w:rsid w:val="00D33073"/>
    <w:rsid w:val="00D437AD"/>
    <w:rsid w:val="00D556A4"/>
    <w:rsid w:val="00D642B6"/>
    <w:rsid w:val="00D84953"/>
    <w:rsid w:val="00D968B3"/>
    <w:rsid w:val="00DA3199"/>
    <w:rsid w:val="00DB495E"/>
    <w:rsid w:val="00DC4ED9"/>
    <w:rsid w:val="00DC78F5"/>
    <w:rsid w:val="00DD6489"/>
    <w:rsid w:val="00E27B68"/>
    <w:rsid w:val="00E81A2A"/>
    <w:rsid w:val="00F12D15"/>
    <w:rsid w:val="00F1589A"/>
    <w:rsid w:val="00F32C8D"/>
    <w:rsid w:val="00F34192"/>
    <w:rsid w:val="00F420F6"/>
    <w:rsid w:val="00F51648"/>
    <w:rsid w:val="00F7042C"/>
    <w:rsid w:val="00F7074C"/>
    <w:rsid w:val="00F9609E"/>
    <w:rsid w:val="00FA796F"/>
    <w:rsid w:val="00FC50F7"/>
    <w:rsid w:val="00FE4F66"/>
    <w:rsid w:val="00FF20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16" type="connector" idref="#_x0000_s1084"/>
        <o:r id="V:Rule17" type="connector" idref="#_x0000_s1085"/>
        <o:r id="V:Rule18" type="connector" idref="#_x0000_s1043"/>
        <o:r id="V:Rule19" type="connector" idref="#_x0000_s1036"/>
        <o:r id="V:Rule20" type="connector" idref="#_x0000_s1062"/>
        <o:r id="V:Rule21" type="connector" idref="#_x0000_s1078"/>
        <o:r id="V:Rule22" type="connector" idref="#_x0000_s1054"/>
        <o:r id="V:Rule23" type="connector" idref="#_x0000_s1076"/>
        <o:r id="V:Rule24" type="connector" idref="#_x0000_s1056"/>
        <o:r id="V:Rule25" type="connector" idref="#_x0000_s1082"/>
        <o:r id="V:Rule26" type="connector" idref="#_x0000_s1045"/>
        <o:r id="V:Rule27" type="connector" idref="#_x0000_s1051"/>
        <o:r id="V:Rule28" type="connector" idref="#_x0000_s1052"/>
        <o:r id="V:Rule29" type="connector" idref="#_x0000_s1058"/>
        <o:r id="V:Rule30" type="connector" idref="#_x0000_s106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8"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E3E"/>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8">
    <w:name w:val="Table Grid 8"/>
    <w:basedOn w:val="TableNormal"/>
    <w:rsid w:val="00945E3E"/>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Header">
    <w:name w:val="header"/>
    <w:basedOn w:val="Normal"/>
    <w:link w:val="HeaderChar"/>
    <w:uiPriority w:val="99"/>
    <w:semiHidden/>
    <w:unhideWhenUsed/>
    <w:rsid w:val="0010692E"/>
    <w:pPr>
      <w:tabs>
        <w:tab w:val="center" w:pos="4680"/>
        <w:tab w:val="right" w:pos="9360"/>
      </w:tabs>
    </w:pPr>
  </w:style>
  <w:style w:type="character" w:customStyle="1" w:styleId="HeaderChar">
    <w:name w:val="Header Char"/>
    <w:basedOn w:val="DefaultParagraphFont"/>
    <w:link w:val="Header"/>
    <w:uiPriority w:val="99"/>
    <w:semiHidden/>
    <w:rsid w:val="0010692E"/>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10692E"/>
    <w:pPr>
      <w:tabs>
        <w:tab w:val="center" w:pos="4680"/>
        <w:tab w:val="right" w:pos="9360"/>
      </w:tabs>
    </w:pPr>
  </w:style>
  <w:style w:type="character" w:customStyle="1" w:styleId="FooterChar">
    <w:name w:val="Footer Char"/>
    <w:basedOn w:val="DefaultParagraphFont"/>
    <w:link w:val="Footer"/>
    <w:uiPriority w:val="99"/>
    <w:semiHidden/>
    <w:rsid w:val="0010692E"/>
    <w:rPr>
      <w:rFonts w:ascii="Times New Roman" w:eastAsia="Times New Roman" w:hAnsi="Times New Roman" w:cs="Times New Roman"/>
      <w:sz w:val="24"/>
      <w:szCs w:val="24"/>
    </w:rPr>
  </w:style>
  <w:style w:type="paragraph" w:styleId="ListParagraph">
    <w:name w:val="List Paragraph"/>
    <w:basedOn w:val="Normal"/>
    <w:uiPriority w:val="34"/>
    <w:qFormat/>
    <w:rsid w:val="00C9669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package" Target="embeddings/Microsoft_Office_Excel_Worksheet1.xlsx"/><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1175</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Williams</dc:creator>
  <cp:lastModifiedBy>Ted Williams</cp:lastModifiedBy>
  <cp:revision>4</cp:revision>
  <cp:lastPrinted>2012-07-25T23:27:00Z</cp:lastPrinted>
  <dcterms:created xsi:type="dcterms:W3CDTF">2012-07-25T23:27:00Z</dcterms:created>
  <dcterms:modified xsi:type="dcterms:W3CDTF">2012-07-25T23:28:00Z</dcterms:modified>
</cp:coreProperties>
</file>