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63B" w:rsidRDefault="001E163B" w:rsidP="001E163B">
      <w:pPr>
        <w:pStyle w:val="Heading1"/>
        <w:jc w:val="center"/>
      </w:pPr>
      <w:r>
        <w:t>Summary of Frequency and Mean Ratings for Institute Pre-Assessment</w:t>
      </w:r>
    </w:p>
    <w:p w:rsidR="001E163B" w:rsidRDefault="00727479" w:rsidP="00727479">
      <w:pPr>
        <w:pStyle w:val="Heading3"/>
        <w:jc w:val="center"/>
      </w:pPr>
      <w:r>
        <w:t xml:space="preserve">Joan LaFrance, </w:t>
      </w:r>
      <w:r w:rsidR="001E163B">
        <w:t>June 5, 2017</w:t>
      </w:r>
    </w:p>
    <w:p w:rsidR="001E163B" w:rsidRDefault="001E163B" w:rsidP="00727479">
      <w:pPr>
        <w:spacing w:line="240" w:lineRule="auto"/>
      </w:pPr>
      <w:r>
        <w:t xml:space="preserve">The following is a preliminary examination of the pre-assessment survey that were completed by 40 of the enrollees.  The dates of this survey application are June 28, 2016 to January 29, 2017.  </w:t>
      </w:r>
      <w:r w:rsidR="008B43F6">
        <w:t>I found it</w:t>
      </w:r>
      <w:r>
        <w:t xml:space="preserve"> useful to analyze the 40 “competencies” in terms of the level of knowledge the Institute enrollees indicated they had at the time they enrolled and their assessment of their use of each of the competencies.</w:t>
      </w:r>
      <w:r w:rsidR="00727479">
        <w:t xml:space="preserve">  It raised some questions that we could discuss in future evaluation meetings.</w:t>
      </w:r>
    </w:p>
    <w:p w:rsidR="001E163B" w:rsidRDefault="001E163B" w:rsidP="00727479">
      <w:pPr>
        <w:spacing w:line="240" w:lineRule="auto"/>
      </w:pPr>
      <w:r>
        <w:t xml:space="preserve">Frequency of the responses on the assessment’s five-point scale of “no knowledge, little knowledge, moderate knowledge, high degree of knowledge and very high degree of knowledge” were collapsed into three levels.  These are “no to little knowledge, moderate knowledge, and high to very high degree of knowledge.  </w:t>
      </w:r>
      <w:r>
        <w:t xml:space="preserve">Figure 1 illustrates the areas that the enrollees indicated the least amount of knowledge.  </w:t>
      </w:r>
      <w:r>
        <w:t>At least 50% or more of those completing the assessment indicated no to little knowledge of these areas, with job search skills and providing traditional healing services getting the highest ratings.</w:t>
      </w:r>
    </w:p>
    <w:p w:rsidR="001E163B" w:rsidRDefault="001E163B" w:rsidP="00E2523E">
      <w:r>
        <w:rPr>
          <w:noProof/>
        </w:rPr>
        <w:drawing>
          <wp:inline distT="0" distB="0" distL="0" distR="0" wp14:anchorId="268D51D8" wp14:editId="762A14CA">
            <wp:extent cx="5943600" cy="3883025"/>
            <wp:effectExtent l="0" t="0" r="0" b="3175"/>
            <wp:docPr id="1" name="Chart 1">
              <a:extLst xmlns:a="http://schemas.openxmlformats.org/drawingml/2006/main">
                <a:ext uri="{FF2B5EF4-FFF2-40B4-BE49-F238E27FC236}">
                  <a16:creationId xmlns:a16="http://schemas.microsoft.com/office/drawing/2014/main" id="{BC678171-2B95-47D2-B79A-57557C523A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163B" w:rsidRDefault="001E163B" w:rsidP="00E2523E">
      <w:r>
        <w:t>Figure 2 shows those who indicated more of a mid-range, with a third to just under half of the enrollees indicating no to little knowledge.</w:t>
      </w:r>
    </w:p>
    <w:p w:rsidR="001E163B" w:rsidRDefault="00DD1CA5" w:rsidP="00E2523E">
      <w:r>
        <w:rPr>
          <w:noProof/>
        </w:rPr>
        <w:lastRenderedPageBreak/>
        <w:drawing>
          <wp:inline distT="0" distB="0" distL="0" distR="0" wp14:anchorId="4393C3DD" wp14:editId="0B9BC860">
            <wp:extent cx="6065520" cy="6377940"/>
            <wp:effectExtent l="0" t="0" r="11430" b="3810"/>
            <wp:docPr id="3" name="Chart 3">
              <a:extLst xmlns:a="http://schemas.openxmlformats.org/drawingml/2006/main">
                <a:ext uri="{FF2B5EF4-FFF2-40B4-BE49-F238E27FC236}">
                  <a16:creationId xmlns:a16="http://schemas.microsoft.com/office/drawing/2014/main" id="{1F874090-8D5F-4EF4-B4C9-B1CDA7C38D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1CA5" w:rsidRDefault="00DD1CA5" w:rsidP="00E2523E">
      <w:r>
        <w:t>As 40% or more of enrollees indicate moderate knowledge, the number those noting no to little drops to 30% to 38%.  Half of the 40 competencies fell within this grouping.</w:t>
      </w:r>
    </w:p>
    <w:p w:rsidR="00DD1CA5" w:rsidRDefault="00DD1CA5">
      <w:pPr>
        <w:spacing w:after="160" w:line="259" w:lineRule="auto"/>
      </w:pPr>
      <w:r>
        <w:br w:type="page"/>
      </w:r>
    </w:p>
    <w:p w:rsidR="00DD1CA5" w:rsidRDefault="00DD1CA5" w:rsidP="008B43F6">
      <w:pPr>
        <w:spacing w:line="240" w:lineRule="auto"/>
      </w:pPr>
      <w:r>
        <w:lastRenderedPageBreak/>
        <w:t xml:space="preserve">Figure 3 </w:t>
      </w:r>
      <w:r w:rsidR="005E6AF5">
        <w:t xml:space="preserve">illustrates the competencies that most of the enrollees indicated moderate to higher levels of knowledge.  Well over two-thirds of the enrollees indicted a high level of knowledge of ethics and confidentiality.  For 13 of the 40 competencies, </w:t>
      </w:r>
      <w:proofErr w:type="gramStart"/>
      <w:r w:rsidR="005E6AF5">
        <w:t>a majority of</w:t>
      </w:r>
      <w:proofErr w:type="gramEnd"/>
      <w:r w:rsidR="005E6AF5">
        <w:t xml:space="preserve"> enrollees indicated a moderate to high level of knowledge.</w:t>
      </w:r>
    </w:p>
    <w:p w:rsidR="00DD1CA5" w:rsidRDefault="00DD1CA5" w:rsidP="00E2523E">
      <w:r>
        <w:rPr>
          <w:noProof/>
        </w:rPr>
        <w:drawing>
          <wp:inline distT="0" distB="0" distL="0" distR="0" wp14:anchorId="3105EF7C" wp14:editId="5740FFC7">
            <wp:extent cx="5775960" cy="4983480"/>
            <wp:effectExtent l="0" t="0" r="15240" b="7620"/>
            <wp:docPr id="4" name="Chart 4">
              <a:extLst xmlns:a="http://schemas.openxmlformats.org/drawingml/2006/main">
                <a:ext uri="{FF2B5EF4-FFF2-40B4-BE49-F238E27FC236}">
                  <a16:creationId xmlns:a16="http://schemas.microsoft.com/office/drawing/2014/main" id="{EEF7431A-C21D-4C4A-958D-E05BD247C1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B43F6" w:rsidRDefault="005E6AF5" w:rsidP="008B43F6">
      <w:pPr>
        <w:spacing w:after="0" w:line="240" w:lineRule="auto"/>
      </w:pPr>
      <w:r>
        <w:t>Figure 4 on the next page illustrates the mean score of level of knowledge compared to the mean score for frequency of application</w:t>
      </w:r>
      <w:r w:rsidR="00801BBB">
        <w:t xml:space="preserve"> for all 40</w:t>
      </w:r>
      <w:r w:rsidR="008B43F6">
        <w:t xml:space="preserve"> (listed in order from highest to lowest level of knowledge)</w:t>
      </w:r>
      <w:r>
        <w:t>.  This figure shows that the level of knowledge mean is generally lower than the mean for frequency of application of the knowledg</w:t>
      </w:r>
      <w:r w:rsidR="003120C6">
        <w:t>e.  It would be good to review the competencies to see if the “never to daily use” scale fits</w:t>
      </w:r>
      <w:r w:rsidR="008B43F6">
        <w:t xml:space="preserve"> all the competencies</w:t>
      </w:r>
      <w:r w:rsidR="003120C6">
        <w:t xml:space="preserve">.  It is possible to set different scales; however, the assessment would have to be changed for future year’s enrollees.  </w:t>
      </w:r>
      <w:r w:rsidR="008B43F6">
        <w:t xml:space="preserve">Also, we should classify positions as those with </w:t>
      </w:r>
      <w:r w:rsidR="008B43F6">
        <w:t>direct contact with clients, such as counselors</w:t>
      </w:r>
      <w:r w:rsidR="008B43F6">
        <w:t>,</w:t>
      </w:r>
      <w:r w:rsidR="008B43F6">
        <w:t xml:space="preserve"> may have different levels of application compared </w:t>
      </w:r>
      <w:r w:rsidR="008B43F6">
        <w:t>to support staff or management.  Review of position lists and the competencies should be on the agenda for future evaluation meetings.</w:t>
      </w:r>
      <w:r w:rsidR="00727479">
        <w:t xml:space="preserve">  The list of positions for the 40 enrollees in this summary is shown on page 5.</w:t>
      </w:r>
    </w:p>
    <w:p w:rsidR="00526044" w:rsidRDefault="00526044" w:rsidP="008B43F6">
      <w:pPr>
        <w:spacing w:after="0" w:line="240" w:lineRule="auto"/>
      </w:pPr>
      <w:r>
        <w:rPr>
          <w:noProof/>
        </w:rPr>
        <w:lastRenderedPageBreak/>
        <w:drawing>
          <wp:inline distT="0" distB="0" distL="0" distR="0" wp14:anchorId="7A52EEF9" wp14:editId="447F05A3">
            <wp:extent cx="5356860" cy="8107680"/>
            <wp:effectExtent l="0" t="0" r="15240" b="7620"/>
            <wp:docPr id="5" name="Chart 5">
              <a:extLst xmlns:a="http://schemas.openxmlformats.org/drawingml/2006/main">
                <a:ext uri="{FF2B5EF4-FFF2-40B4-BE49-F238E27FC236}">
                  <a16:creationId xmlns:a16="http://schemas.microsoft.com/office/drawing/2014/main" id="{AA6865A8-E1C9-4F1C-805D-3453BA16EF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27479" w:rsidRDefault="00727479" w:rsidP="00727479">
      <w:pPr>
        <w:spacing w:after="0" w:line="240" w:lineRule="auto"/>
      </w:pPr>
      <w:r>
        <w:lastRenderedPageBreak/>
        <w:t>List of positions as entered for the pre-assessment.  Two did not complete the assessment.</w:t>
      </w:r>
    </w:p>
    <w:p w:rsidR="00727479" w:rsidRDefault="00727479" w:rsidP="00727479">
      <w:pPr>
        <w:pStyle w:val="ListParagraph"/>
        <w:numPr>
          <w:ilvl w:val="0"/>
          <w:numId w:val="2"/>
        </w:numPr>
        <w:spacing w:after="0" w:line="240" w:lineRule="auto"/>
      </w:pPr>
      <w:r>
        <w:t>Vocational Rehabilitation Counselor</w:t>
      </w:r>
    </w:p>
    <w:p w:rsidR="00727479" w:rsidRDefault="00727479" w:rsidP="00727479">
      <w:pPr>
        <w:pStyle w:val="ListParagraph"/>
        <w:numPr>
          <w:ilvl w:val="0"/>
          <w:numId w:val="2"/>
        </w:numPr>
        <w:spacing w:after="0" w:line="240" w:lineRule="auto"/>
      </w:pPr>
      <w:r>
        <w:t>Lead Counselor</w:t>
      </w:r>
    </w:p>
    <w:p w:rsidR="00727479" w:rsidRDefault="00727479" w:rsidP="00727479">
      <w:pPr>
        <w:pStyle w:val="ListParagraph"/>
        <w:numPr>
          <w:ilvl w:val="0"/>
          <w:numId w:val="2"/>
        </w:numPr>
        <w:spacing w:after="0" w:line="240" w:lineRule="auto"/>
      </w:pPr>
      <w:r>
        <w:t>Admin. Asst./Support Specialist</w:t>
      </w:r>
    </w:p>
    <w:p w:rsidR="00727479" w:rsidRDefault="00727479" w:rsidP="00727479">
      <w:pPr>
        <w:pStyle w:val="ListParagraph"/>
        <w:numPr>
          <w:ilvl w:val="0"/>
          <w:numId w:val="2"/>
        </w:numPr>
        <w:spacing w:after="0" w:line="240" w:lineRule="auto"/>
      </w:pPr>
      <w:r>
        <w:t>Work Adjustment Skills Trainer</w:t>
      </w:r>
    </w:p>
    <w:p w:rsidR="00727479" w:rsidRDefault="00727479" w:rsidP="00727479">
      <w:pPr>
        <w:pStyle w:val="ListParagraph"/>
        <w:numPr>
          <w:ilvl w:val="0"/>
          <w:numId w:val="2"/>
        </w:numPr>
        <w:spacing w:after="0" w:line="240" w:lineRule="auto"/>
      </w:pPr>
      <w:r>
        <w:t>VR counselor</w:t>
      </w:r>
    </w:p>
    <w:p w:rsidR="00727479" w:rsidRDefault="00727479" w:rsidP="00727479">
      <w:pPr>
        <w:pStyle w:val="ListParagraph"/>
        <w:numPr>
          <w:ilvl w:val="0"/>
          <w:numId w:val="2"/>
        </w:numPr>
        <w:spacing w:after="0" w:line="240" w:lineRule="auto"/>
      </w:pPr>
      <w:r>
        <w:t xml:space="preserve">Vocational </w:t>
      </w:r>
      <w:r>
        <w:t>Rehabilitation</w:t>
      </w:r>
      <w:r>
        <w:t xml:space="preserve"> Counselor</w:t>
      </w:r>
    </w:p>
    <w:p w:rsidR="00727479" w:rsidRDefault="00727479" w:rsidP="00727479">
      <w:pPr>
        <w:pStyle w:val="ListParagraph"/>
        <w:numPr>
          <w:ilvl w:val="0"/>
          <w:numId w:val="2"/>
        </w:numPr>
        <w:spacing w:after="0" w:line="240" w:lineRule="auto"/>
      </w:pPr>
      <w:r>
        <w:t>Rehab. Technician</w:t>
      </w:r>
    </w:p>
    <w:p w:rsidR="00727479" w:rsidRDefault="00727479" w:rsidP="00727479">
      <w:pPr>
        <w:pStyle w:val="ListParagraph"/>
        <w:numPr>
          <w:ilvl w:val="0"/>
          <w:numId w:val="2"/>
        </w:numPr>
        <w:spacing w:after="0" w:line="240" w:lineRule="auto"/>
      </w:pPr>
      <w:r>
        <w:t>Job Placement Counselor</w:t>
      </w:r>
    </w:p>
    <w:p w:rsidR="00727479" w:rsidRDefault="00727479" w:rsidP="00727479">
      <w:pPr>
        <w:pStyle w:val="ListParagraph"/>
        <w:numPr>
          <w:ilvl w:val="0"/>
          <w:numId w:val="2"/>
        </w:numPr>
        <w:spacing w:after="0" w:line="240" w:lineRule="auto"/>
      </w:pPr>
      <w:r>
        <w:t>Transitional Counselor</w:t>
      </w:r>
    </w:p>
    <w:p w:rsidR="00727479" w:rsidRDefault="00727479" w:rsidP="00727479">
      <w:pPr>
        <w:pStyle w:val="ListParagraph"/>
        <w:numPr>
          <w:ilvl w:val="0"/>
          <w:numId w:val="2"/>
        </w:numPr>
        <w:spacing w:after="0" w:line="240" w:lineRule="auto"/>
      </w:pPr>
      <w:r>
        <w:t>STUDENT</w:t>
      </w:r>
    </w:p>
    <w:p w:rsidR="00727479" w:rsidRDefault="00727479" w:rsidP="00727479">
      <w:pPr>
        <w:pStyle w:val="ListParagraph"/>
        <w:numPr>
          <w:ilvl w:val="0"/>
          <w:numId w:val="2"/>
        </w:numPr>
        <w:spacing w:after="0" w:line="240" w:lineRule="auto"/>
      </w:pPr>
      <w:r>
        <w:t>ABE Instructor</w:t>
      </w:r>
    </w:p>
    <w:p w:rsidR="00727479" w:rsidRDefault="00727479" w:rsidP="00727479">
      <w:pPr>
        <w:pStyle w:val="ListParagraph"/>
        <w:numPr>
          <w:ilvl w:val="0"/>
          <w:numId w:val="2"/>
        </w:numPr>
        <w:spacing w:after="0" w:line="240" w:lineRule="auto"/>
      </w:pPr>
      <w:r>
        <w:t>Case Manager</w:t>
      </w:r>
    </w:p>
    <w:p w:rsidR="00727479" w:rsidRDefault="00727479" w:rsidP="00727479">
      <w:pPr>
        <w:pStyle w:val="ListParagraph"/>
        <w:numPr>
          <w:ilvl w:val="0"/>
          <w:numId w:val="2"/>
        </w:numPr>
        <w:spacing w:after="0" w:line="240" w:lineRule="auto"/>
      </w:pPr>
      <w:r>
        <w:t>Director</w:t>
      </w:r>
      <w:bookmarkStart w:id="0" w:name="_GoBack"/>
      <w:bookmarkEnd w:id="0"/>
    </w:p>
    <w:p w:rsidR="00727479" w:rsidRDefault="00727479" w:rsidP="00727479">
      <w:pPr>
        <w:pStyle w:val="ListParagraph"/>
        <w:numPr>
          <w:ilvl w:val="0"/>
          <w:numId w:val="2"/>
        </w:numPr>
        <w:spacing w:after="0" w:line="240" w:lineRule="auto"/>
      </w:pPr>
      <w:r>
        <w:t>VRC</w:t>
      </w:r>
    </w:p>
    <w:p w:rsidR="00727479" w:rsidRDefault="00727479" w:rsidP="00727479">
      <w:pPr>
        <w:pStyle w:val="ListParagraph"/>
        <w:numPr>
          <w:ilvl w:val="0"/>
          <w:numId w:val="2"/>
        </w:numPr>
        <w:spacing w:after="0" w:line="240" w:lineRule="auto"/>
      </w:pPr>
      <w:r>
        <w:t>Vocational Rehabilitation Counselor</w:t>
      </w:r>
    </w:p>
    <w:p w:rsidR="00727479" w:rsidRDefault="00727479" w:rsidP="00727479">
      <w:pPr>
        <w:pStyle w:val="ListParagraph"/>
        <w:numPr>
          <w:ilvl w:val="0"/>
          <w:numId w:val="2"/>
        </w:numPr>
        <w:spacing w:after="0" w:line="240" w:lineRule="auto"/>
      </w:pPr>
      <w:r>
        <w:t>NPTVR Specialist</w:t>
      </w:r>
    </w:p>
    <w:p w:rsidR="00727479" w:rsidRDefault="00727479" w:rsidP="00727479">
      <w:pPr>
        <w:pStyle w:val="ListParagraph"/>
        <w:numPr>
          <w:ilvl w:val="0"/>
          <w:numId w:val="2"/>
        </w:numPr>
        <w:spacing w:after="0" w:line="240" w:lineRule="auto"/>
      </w:pPr>
      <w:r>
        <w:t>Vocational Rehabilitation Counselor</w:t>
      </w:r>
    </w:p>
    <w:p w:rsidR="00727479" w:rsidRDefault="00727479" w:rsidP="00727479">
      <w:pPr>
        <w:pStyle w:val="ListParagraph"/>
        <w:numPr>
          <w:ilvl w:val="0"/>
          <w:numId w:val="2"/>
        </w:numPr>
        <w:spacing w:after="0" w:line="240" w:lineRule="auto"/>
      </w:pPr>
      <w:proofErr w:type="spellStart"/>
      <w:r>
        <w:t>Voc</w:t>
      </w:r>
      <w:proofErr w:type="spellEnd"/>
      <w:r>
        <w:t xml:space="preserve"> Rehab Counselor</w:t>
      </w:r>
    </w:p>
    <w:p w:rsidR="00727479" w:rsidRDefault="00727479" w:rsidP="00727479">
      <w:pPr>
        <w:pStyle w:val="ListParagraph"/>
        <w:numPr>
          <w:ilvl w:val="0"/>
          <w:numId w:val="2"/>
        </w:numPr>
        <w:spacing w:after="0" w:line="240" w:lineRule="auto"/>
      </w:pPr>
      <w:r>
        <w:t>Job Developer</w:t>
      </w:r>
    </w:p>
    <w:p w:rsidR="00727479" w:rsidRDefault="00727479" w:rsidP="00727479">
      <w:pPr>
        <w:pStyle w:val="ListParagraph"/>
        <w:numPr>
          <w:ilvl w:val="0"/>
          <w:numId w:val="2"/>
        </w:numPr>
        <w:spacing w:after="0" w:line="240" w:lineRule="auto"/>
      </w:pPr>
      <w:r>
        <w:t>NPTVRS Specialist</w:t>
      </w:r>
    </w:p>
    <w:p w:rsidR="00727479" w:rsidRDefault="00727479" w:rsidP="00727479">
      <w:pPr>
        <w:pStyle w:val="ListParagraph"/>
        <w:numPr>
          <w:ilvl w:val="0"/>
          <w:numId w:val="2"/>
        </w:numPr>
        <w:spacing w:after="0" w:line="240" w:lineRule="auto"/>
      </w:pPr>
      <w:r>
        <w:t>Intake Coordinator</w:t>
      </w:r>
    </w:p>
    <w:p w:rsidR="00727479" w:rsidRDefault="00727479" w:rsidP="00727479">
      <w:pPr>
        <w:pStyle w:val="ListParagraph"/>
        <w:numPr>
          <w:ilvl w:val="0"/>
          <w:numId w:val="2"/>
        </w:numPr>
        <w:spacing w:after="0" w:line="240" w:lineRule="auto"/>
      </w:pPr>
      <w:r>
        <w:t>TVR Counselor</w:t>
      </w:r>
    </w:p>
    <w:p w:rsidR="00727479" w:rsidRDefault="00727479" w:rsidP="00727479">
      <w:pPr>
        <w:pStyle w:val="ListParagraph"/>
        <w:numPr>
          <w:ilvl w:val="0"/>
          <w:numId w:val="2"/>
        </w:numPr>
        <w:spacing w:after="0" w:line="240" w:lineRule="auto"/>
      </w:pPr>
      <w:r>
        <w:t>Job Developer</w:t>
      </w:r>
    </w:p>
    <w:p w:rsidR="00727479" w:rsidRDefault="00727479" w:rsidP="00727479">
      <w:pPr>
        <w:pStyle w:val="ListParagraph"/>
        <w:numPr>
          <w:ilvl w:val="0"/>
          <w:numId w:val="2"/>
        </w:numPr>
        <w:spacing w:after="0" w:line="240" w:lineRule="auto"/>
      </w:pPr>
      <w:r>
        <w:t>Director</w:t>
      </w:r>
    </w:p>
    <w:p w:rsidR="00727479" w:rsidRDefault="00727479" w:rsidP="00727479">
      <w:pPr>
        <w:pStyle w:val="ListParagraph"/>
        <w:numPr>
          <w:ilvl w:val="0"/>
          <w:numId w:val="2"/>
        </w:numPr>
        <w:spacing w:after="0" w:line="240" w:lineRule="auto"/>
      </w:pPr>
      <w:r>
        <w:t>Vocational Rehabilitation Counselor Associate</w:t>
      </w:r>
    </w:p>
    <w:p w:rsidR="00727479" w:rsidRDefault="00727479" w:rsidP="00727479">
      <w:pPr>
        <w:pStyle w:val="ListParagraph"/>
        <w:numPr>
          <w:ilvl w:val="0"/>
          <w:numId w:val="2"/>
        </w:numPr>
        <w:spacing w:after="0" w:line="240" w:lineRule="auto"/>
      </w:pPr>
      <w:r>
        <w:t>Case Worker</w:t>
      </w:r>
    </w:p>
    <w:p w:rsidR="00727479" w:rsidRDefault="00727479" w:rsidP="00727479">
      <w:pPr>
        <w:pStyle w:val="ListParagraph"/>
        <w:numPr>
          <w:ilvl w:val="0"/>
          <w:numId w:val="2"/>
        </w:numPr>
        <w:spacing w:after="0" w:line="240" w:lineRule="auto"/>
      </w:pPr>
      <w:r>
        <w:t xml:space="preserve">Employment </w:t>
      </w:r>
      <w:r>
        <w:t>and</w:t>
      </w:r>
      <w:r>
        <w:t xml:space="preserve"> Training Caseworker</w:t>
      </w:r>
    </w:p>
    <w:p w:rsidR="00727479" w:rsidRDefault="00727479" w:rsidP="00727479">
      <w:pPr>
        <w:pStyle w:val="ListParagraph"/>
        <w:numPr>
          <w:ilvl w:val="0"/>
          <w:numId w:val="2"/>
        </w:numPr>
        <w:spacing w:after="0" w:line="240" w:lineRule="auto"/>
      </w:pPr>
      <w:r>
        <w:t>Employment, Training and Related Services Coordinator</w:t>
      </w:r>
    </w:p>
    <w:p w:rsidR="00727479" w:rsidRDefault="00727479" w:rsidP="00727479">
      <w:pPr>
        <w:pStyle w:val="ListParagraph"/>
        <w:numPr>
          <w:ilvl w:val="0"/>
          <w:numId w:val="2"/>
        </w:numPr>
        <w:spacing w:after="0" w:line="240" w:lineRule="auto"/>
      </w:pPr>
      <w:r>
        <w:t>Director</w:t>
      </w:r>
    </w:p>
    <w:p w:rsidR="00727479" w:rsidRDefault="00727479" w:rsidP="00727479">
      <w:pPr>
        <w:pStyle w:val="ListParagraph"/>
        <w:numPr>
          <w:ilvl w:val="0"/>
          <w:numId w:val="2"/>
        </w:numPr>
        <w:spacing w:after="0" w:line="240" w:lineRule="auto"/>
      </w:pPr>
      <w:r>
        <w:t>Counselor 2</w:t>
      </w:r>
    </w:p>
    <w:p w:rsidR="00727479" w:rsidRDefault="00727479" w:rsidP="00727479">
      <w:pPr>
        <w:pStyle w:val="ListParagraph"/>
        <w:numPr>
          <w:ilvl w:val="0"/>
          <w:numId w:val="2"/>
        </w:numPr>
        <w:spacing w:after="0" w:line="240" w:lineRule="auto"/>
      </w:pPr>
      <w:r>
        <w:t>Vocational Rehabilitation Counselor</w:t>
      </w:r>
    </w:p>
    <w:p w:rsidR="00727479" w:rsidRDefault="00727479" w:rsidP="00727479">
      <w:pPr>
        <w:pStyle w:val="ListParagraph"/>
        <w:numPr>
          <w:ilvl w:val="0"/>
          <w:numId w:val="2"/>
        </w:numPr>
        <w:spacing w:after="0" w:line="240" w:lineRule="auto"/>
      </w:pPr>
      <w:r>
        <w:t>Program Director</w:t>
      </w:r>
    </w:p>
    <w:p w:rsidR="00727479" w:rsidRDefault="00727479" w:rsidP="00727479">
      <w:pPr>
        <w:pStyle w:val="ListParagraph"/>
        <w:numPr>
          <w:ilvl w:val="0"/>
          <w:numId w:val="2"/>
        </w:numPr>
        <w:spacing w:after="0" w:line="240" w:lineRule="auto"/>
      </w:pPr>
      <w:r>
        <w:t>VR Counselor</w:t>
      </w:r>
    </w:p>
    <w:p w:rsidR="00727479" w:rsidRDefault="00727479" w:rsidP="00727479">
      <w:pPr>
        <w:pStyle w:val="ListParagraph"/>
        <w:numPr>
          <w:ilvl w:val="0"/>
          <w:numId w:val="2"/>
        </w:numPr>
        <w:spacing w:after="0" w:line="240" w:lineRule="auto"/>
      </w:pPr>
      <w:r>
        <w:t>Lead Caseworker</w:t>
      </w:r>
    </w:p>
    <w:p w:rsidR="00727479" w:rsidRDefault="00727479" w:rsidP="00727479">
      <w:pPr>
        <w:pStyle w:val="ListParagraph"/>
        <w:numPr>
          <w:ilvl w:val="0"/>
          <w:numId w:val="2"/>
        </w:numPr>
        <w:spacing w:after="0" w:line="240" w:lineRule="auto"/>
      </w:pPr>
      <w:r>
        <w:t>TVR Counselor</w:t>
      </w:r>
    </w:p>
    <w:p w:rsidR="00727479" w:rsidRDefault="00727479" w:rsidP="00727479">
      <w:pPr>
        <w:pStyle w:val="ListParagraph"/>
        <w:numPr>
          <w:ilvl w:val="0"/>
          <w:numId w:val="2"/>
        </w:numPr>
        <w:spacing w:after="0" w:line="240" w:lineRule="auto"/>
      </w:pPr>
      <w:r>
        <w:t>Vocational Rehabilitation Counselor</w:t>
      </w:r>
    </w:p>
    <w:p w:rsidR="00727479" w:rsidRDefault="00727479" w:rsidP="00727479">
      <w:pPr>
        <w:pStyle w:val="ListParagraph"/>
        <w:numPr>
          <w:ilvl w:val="0"/>
          <w:numId w:val="2"/>
        </w:numPr>
        <w:spacing w:after="0" w:line="240" w:lineRule="auto"/>
      </w:pPr>
      <w:r>
        <w:t>Program Assistance II with Special Projects and Initiatives</w:t>
      </w:r>
    </w:p>
    <w:p w:rsidR="00727479" w:rsidRDefault="00727479" w:rsidP="00727479">
      <w:pPr>
        <w:pStyle w:val="ListParagraph"/>
        <w:numPr>
          <w:ilvl w:val="0"/>
          <w:numId w:val="2"/>
        </w:numPr>
        <w:spacing w:after="0" w:line="240" w:lineRule="auto"/>
      </w:pPr>
      <w:r>
        <w:t>VR Counselor</w:t>
      </w:r>
    </w:p>
    <w:p w:rsidR="00727479" w:rsidRDefault="00727479" w:rsidP="00727479">
      <w:pPr>
        <w:pStyle w:val="ListParagraph"/>
        <w:numPr>
          <w:ilvl w:val="0"/>
          <w:numId w:val="2"/>
        </w:numPr>
        <w:spacing w:after="0" w:line="240" w:lineRule="auto"/>
      </w:pPr>
      <w:r>
        <w:t>Counselor 2</w:t>
      </w:r>
    </w:p>
    <w:p w:rsidR="00727479" w:rsidRDefault="00727479" w:rsidP="00727479">
      <w:pPr>
        <w:pStyle w:val="ListParagraph"/>
        <w:numPr>
          <w:ilvl w:val="0"/>
          <w:numId w:val="2"/>
        </w:numPr>
        <w:spacing w:after="0" w:line="240" w:lineRule="auto"/>
      </w:pPr>
      <w:r>
        <w:t>Vocational Rehabilitation Counselor</w:t>
      </w:r>
    </w:p>
    <w:p w:rsidR="00727479" w:rsidRDefault="00727479" w:rsidP="00727479">
      <w:pPr>
        <w:pStyle w:val="ListParagraph"/>
        <w:numPr>
          <w:ilvl w:val="0"/>
          <w:numId w:val="2"/>
        </w:numPr>
        <w:spacing w:after="0" w:line="240" w:lineRule="auto"/>
      </w:pPr>
      <w:r>
        <w:t>NIVRP VRC</w:t>
      </w:r>
    </w:p>
    <w:p w:rsidR="00727479" w:rsidRDefault="00727479" w:rsidP="00727479">
      <w:pPr>
        <w:pStyle w:val="ListParagraph"/>
        <w:numPr>
          <w:ilvl w:val="0"/>
          <w:numId w:val="2"/>
        </w:numPr>
        <w:spacing w:after="0" w:line="240" w:lineRule="auto"/>
      </w:pPr>
      <w:r>
        <w:t>Director</w:t>
      </w:r>
    </w:p>
    <w:sectPr w:rsidR="0072747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3B4" w:rsidRDefault="005353B4" w:rsidP="00E2523E">
      <w:pPr>
        <w:spacing w:after="0" w:line="240" w:lineRule="auto"/>
      </w:pPr>
      <w:r>
        <w:separator/>
      </w:r>
    </w:p>
  </w:endnote>
  <w:endnote w:type="continuationSeparator" w:id="0">
    <w:p w:rsidR="005353B4" w:rsidRDefault="005353B4" w:rsidP="00E25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2E74B5" w:themeColor="accent1" w:themeShade="BF"/>
      </w:rPr>
      <w:id w:val="-649979238"/>
      <w:docPartObj>
        <w:docPartGallery w:val="Page Numbers (Bottom of Page)"/>
        <w:docPartUnique/>
      </w:docPartObj>
    </w:sdtPr>
    <w:sdtEndPr>
      <w:rPr>
        <w:noProof/>
      </w:rPr>
    </w:sdtEndPr>
    <w:sdtContent>
      <w:p w:rsidR="00E2523E" w:rsidRPr="005E289F" w:rsidRDefault="00E2523E" w:rsidP="00E2523E">
        <w:pPr>
          <w:pStyle w:val="Footer"/>
          <w:pBdr>
            <w:bottom w:val="thinThickSmallGap" w:sz="24" w:space="1" w:color="833C0B" w:themeColor="accent2" w:themeShade="80"/>
          </w:pBdr>
          <w:jc w:val="right"/>
          <w:rPr>
            <w:color w:val="2E74B5" w:themeColor="accent1" w:themeShade="BF"/>
          </w:rPr>
        </w:pPr>
      </w:p>
      <w:p w:rsidR="00E2523E" w:rsidRPr="005E289F" w:rsidRDefault="00E2523E" w:rsidP="00E2523E">
        <w:pPr>
          <w:pStyle w:val="Footer"/>
          <w:rPr>
            <w:i/>
            <w:color w:val="2E74B5" w:themeColor="accent1" w:themeShade="BF"/>
            <w:sz w:val="20"/>
            <w:szCs w:val="20"/>
          </w:rPr>
        </w:pPr>
        <w:r w:rsidRPr="005E289F">
          <w:rPr>
            <w:i/>
            <w:color w:val="2E74B5" w:themeColor="accent1" w:themeShade="BF"/>
            <w:sz w:val="20"/>
            <w:szCs w:val="20"/>
          </w:rPr>
          <w:t>Mekinak Consulting</w:t>
        </w:r>
      </w:p>
      <w:p w:rsidR="00E2523E" w:rsidRPr="005E289F" w:rsidRDefault="00E2523E" w:rsidP="00E2523E">
        <w:pPr>
          <w:pStyle w:val="Footer"/>
          <w:rPr>
            <w:color w:val="2E74B5" w:themeColor="accent1" w:themeShade="BF"/>
          </w:rPr>
        </w:pPr>
        <w:r>
          <w:rPr>
            <w:i/>
            <w:color w:val="2E74B5" w:themeColor="accent1" w:themeShade="BF"/>
            <w:sz w:val="20"/>
            <w:szCs w:val="20"/>
          </w:rPr>
          <w:t>June 201</w:t>
        </w:r>
        <w:r w:rsidR="001E163B">
          <w:rPr>
            <w:i/>
            <w:color w:val="2E74B5" w:themeColor="accent1" w:themeShade="BF"/>
            <w:sz w:val="20"/>
            <w:szCs w:val="20"/>
          </w:rPr>
          <w:t>7</w:t>
        </w:r>
        <w:r w:rsidRPr="005E289F">
          <w:rPr>
            <w:i/>
            <w:color w:val="2E74B5" w:themeColor="accent1" w:themeShade="BF"/>
            <w:sz w:val="20"/>
            <w:szCs w:val="20"/>
          </w:rPr>
          <w:t xml:space="preserve"> </w:t>
        </w:r>
        <w:r w:rsidRPr="005E289F">
          <w:rPr>
            <w:color w:val="2E74B5" w:themeColor="accent1" w:themeShade="BF"/>
          </w:rPr>
          <w:t xml:space="preserve">                          </w:t>
        </w:r>
        <w:r w:rsidRPr="005E289F">
          <w:rPr>
            <w:color w:val="2E74B5" w:themeColor="accent1" w:themeShade="BF"/>
          </w:rPr>
          <w:tab/>
        </w:r>
        <w:r w:rsidRPr="005E289F">
          <w:rPr>
            <w:color w:val="2E74B5" w:themeColor="accent1" w:themeShade="BF"/>
          </w:rPr>
          <w:tab/>
          <w:t xml:space="preserve">                              </w:t>
        </w:r>
        <w:r w:rsidRPr="005E289F">
          <w:rPr>
            <w:color w:val="2E74B5" w:themeColor="accent1" w:themeShade="BF"/>
          </w:rPr>
          <w:fldChar w:fldCharType="begin"/>
        </w:r>
        <w:r w:rsidRPr="005E289F">
          <w:rPr>
            <w:color w:val="2E74B5" w:themeColor="accent1" w:themeShade="BF"/>
          </w:rPr>
          <w:instrText xml:space="preserve"> PAGE   \* MERGEFORMAT </w:instrText>
        </w:r>
        <w:r w:rsidRPr="005E289F">
          <w:rPr>
            <w:color w:val="2E74B5" w:themeColor="accent1" w:themeShade="BF"/>
          </w:rPr>
          <w:fldChar w:fldCharType="separate"/>
        </w:r>
        <w:r w:rsidR="00727479">
          <w:rPr>
            <w:noProof/>
            <w:color w:val="2E74B5" w:themeColor="accent1" w:themeShade="BF"/>
          </w:rPr>
          <w:t>1</w:t>
        </w:r>
        <w:r w:rsidRPr="005E289F">
          <w:rPr>
            <w:noProof/>
            <w:color w:val="2E74B5" w:themeColor="accent1" w:themeShade="BF"/>
          </w:rPr>
          <w:fldChar w:fldCharType="end"/>
        </w:r>
      </w:p>
    </w:sdtContent>
  </w:sdt>
  <w:p w:rsidR="00E2523E" w:rsidRPr="005F6157" w:rsidRDefault="00E2523E" w:rsidP="00E252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3B4" w:rsidRDefault="005353B4" w:rsidP="00E2523E">
      <w:pPr>
        <w:spacing w:after="0" w:line="240" w:lineRule="auto"/>
      </w:pPr>
      <w:r>
        <w:separator/>
      </w:r>
    </w:p>
  </w:footnote>
  <w:footnote w:type="continuationSeparator" w:id="0">
    <w:p w:rsidR="005353B4" w:rsidRDefault="005353B4" w:rsidP="00E25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116771"/>
      <w:docPartObj>
        <w:docPartGallery w:val="Page Numbers (Bottom of Page)"/>
        <w:docPartUnique/>
      </w:docPartObj>
    </w:sdtPr>
    <w:sdtEndPr>
      <w:rPr>
        <w:noProof/>
      </w:rPr>
    </w:sdtEndPr>
    <w:sdtContent>
      <w:p w:rsidR="00E2523E" w:rsidRPr="008C26B8" w:rsidRDefault="001E163B" w:rsidP="00E2523E">
        <w:pPr>
          <w:pStyle w:val="Footer"/>
          <w:pBdr>
            <w:bottom w:val="thinThickSmallGap" w:sz="24" w:space="1" w:color="833C0B" w:themeColor="accent2" w:themeShade="80"/>
          </w:pBdr>
          <w:jc w:val="center"/>
          <w:rPr>
            <w:color w:val="1F4E79" w:themeColor="accent1" w:themeShade="80"/>
            <w:sz w:val="22"/>
          </w:rPr>
        </w:pPr>
        <w:r>
          <w:rPr>
            <w:color w:val="1F4E79" w:themeColor="accent1" w:themeShade="80"/>
            <w:sz w:val="22"/>
          </w:rPr>
          <w:t>TVR Institute Evaluation</w:t>
        </w:r>
      </w:p>
      <w:p w:rsidR="00E2523E" w:rsidRDefault="005353B4" w:rsidP="00E2523E">
        <w:pPr>
          <w:pStyle w:val="Foo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1EEC"/>
    <w:multiLevelType w:val="multilevel"/>
    <w:tmpl w:val="1528136C"/>
    <w:styleLink w:val="ListNTR"/>
    <w:lvl w:ilvl="0">
      <w:start w:val="1"/>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rPr>
        <w:rFonts w:ascii="Times New Roman" w:hAnsi="Times New Roman"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6395858"/>
    <w:multiLevelType w:val="hybridMultilevel"/>
    <w:tmpl w:val="EB20C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3B"/>
    <w:rsid w:val="000D2DA2"/>
    <w:rsid w:val="001823FD"/>
    <w:rsid w:val="001C1AC8"/>
    <w:rsid w:val="001E163B"/>
    <w:rsid w:val="00222738"/>
    <w:rsid w:val="00265799"/>
    <w:rsid w:val="00284D25"/>
    <w:rsid w:val="00296ABA"/>
    <w:rsid w:val="002C1245"/>
    <w:rsid w:val="003120C6"/>
    <w:rsid w:val="003749DD"/>
    <w:rsid w:val="00391490"/>
    <w:rsid w:val="0044407A"/>
    <w:rsid w:val="004D74E2"/>
    <w:rsid w:val="00526044"/>
    <w:rsid w:val="005353B4"/>
    <w:rsid w:val="005E6AF5"/>
    <w:rsid w:val="00674808"/>
    <w:rsid w:val="00711E6D"/>
    <w:rsid w:val="00727479"/>
    <w:rsid w:val="00801BBB"/>
    <w:rsid w:val="008B43F6"/>
    <w:rsid w:val="009A19DB"/>
    <w:rsid w:val="00A33B25"/>
    <w:rsid w:val="00BC1485"/>
    <w:rsid w:val="00D67127"/>
    <w:rsid w:val="00DD1CA5"/>
    <w:rsid w:val="00E2523E"/>
    <w:rsid w:val="00FF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2D80"/>
  <w15:chartTrackingRefBased/>
  <w15:docId w15:val="{06AE6B0F-9197-468A-B47F-A342727D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NormalTNR"/>
    <w:qFormat/>
    <w:rsid w:val="001E163B"/>
    <w:pPr>
      <w:spacing w:after="120" w:line="276" w:lineRule="auto"/>
    </w:pPr>
    <w:rPr>
      <w:rFonts w:ascii="Times New Roman" w:eastAsiaTheme="minorHAnsi" w:hAnsi="Times New Roman" w:cs="Calibri"/>
      <w:sz w:val="24"/>
    </w:rPr>
  </w:style>
  <w:style w:type="paragraph" w:styleId="Heading1">
    <w:name w:val="heading 1"/>
    <w:aliases w:val="Heading 1TNR"/>
    <w:basedOn w:val="Normal"/>
    <w:next w:val="Normal"/>
    <w:link w:val="Heading1Char"/>
    <w:autoRedefine/>
    <w:uiPriority w:val="9"/>
    <w:qFormat/>
    <w:rsid w:val="003749DD"/>
    <w:pPr>
      <w:keepNext/>
      <w:keepLines/>
      <w:spacing w:before="240" w:after="0"/>
      <w:outlineLvl w:val="0"/>
    </w:pPr>
    <w:rPr>
      <w:rFonts w:eastAsiaTheme="majorEastAsia" w:cstheme="majorBidi"/>
      <w:b/>
      <w:color w:val="2E74B5" w:themeColor="accent1" w:themeShade="BF"/>
      <w:sz w:val="32"/>
      <w:szCs w:val="32"/>
    </w:rPr>
  </w:style>
  <w:style w:type="paragraph" w:styleId="Heading2">
    <w:name w:val="heading 2"/>
    <w:aliases w:val="HeadingTNR"/>
    <w:basedOn w:val="Normal"/>
    <w:next w:val="Normal"/>
    <w:link w:val="Heading2Char"/>
    <w:uiPriority w:val="9"/>
    <w:unhideWhenUsed/>
    <w:qFormat/>
    <w:rsid w:val="003749DD"/>
    <w:pPr>
      <w:keepNext/>
      <w:keepLines/>
      <w:spacing w:before="40" w:after="0"/>
      <w:outlineLvl w:val="1"/>
    </w:pPr>
    <w:rPr>
      <w:rFonts w:eastAsiaTheme="majorEastAsia" w:cstheme="majorBidi"/>
      <w:b/>
      <w:color w:val="2E74B5" w:themeColor="accent1" w:themeShade="BF"/>
      <w:sz w:val="28"/>
      <w:szCs w:val="26"/>
    </w:rPr>
  </w:style>
  <w:style w:type="paragraph" w:styleId="Heading3">
    <w:name w:val="heading 3"/>
    <w:aliases w:val="Heading 2TNR"/>
    <w:basedOn w:val="Normal"/>
    <w:next w:val="Normal"/>
    <w:link w:val="Heading3Char"/>
    <w:uiPriority w:val="9"/>
    <w:unhideWhenUsed/>
    <w:qFormat/>
    <w:rsid w:val="00296ABA"/>
    <w:pPr>
      <w:keepNext/>
      <w:keepLines/>
      <w:spacing w:before="40" w:after="0"/>
      <w:outlineLvl w:val="2"/>
    </w:pPr>
    <w:rPr>
      <w:rFonts w:eastAsiaTheme="majorEastAsia" w:cstheme="majorBidi"/>
      <w:b/>
      <w:color w:val="1F4D78"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TNR Char"/>
    <w:basedOn w:val="DefaultParagraphFont"/>
    <w:link w:val="Heading1"/>
    <w:uiPriority w:val="9"/>
    <w:rsid w:val="003749DD"/>
    <w:rPr>
      <w:rFonts w:ascii="Times New Roman" w:eastAsiaTheme="majorEastAsia" w:hAnsi="Times New Roman" w:cstheme="majorBidi"/>
      <w:b/>
      <w:color w:val="2E74B5" w:themeColor="accent1" w:themeShade="BF"/>
      <w:sz w:val="32"/>
      <w:szCs w:val="32"/>
    </w:rPr>
  </w:style>
  <w:style w:type="character" w:customStyle="1" w:styleId="Heading2Char">
    <w:name w:val="Heading 2 Char"/>
    <w:aliases w:val="HeadingTNR Char"/>
    <w:basedOn w:val="DefaultParagraphFont"/>
    <w:link w:val="Heading2"/>
    <w:uiPriority w:val="9"/>
    <w:rsid w:val="003749DD"/>
    <w:rPr>
      <w:rFonts w:ascii="Times New Roman" w:eastAsiaTheme="majorEastAsia" w:hAnsi="Times New Roman" w:cstheme="majorBidi"/>
      <w:b/>
      <w:color w:val="2E74B5" w:themeColor="accent1" w:themeShade="BF"/>
      <w:sz w:val="28"/>
      <w:szCs w:val="26"/>
    </w:rPr>
  </w:style>
  <w:style w:type="character" w:customStyle="1" w:styleId="Heading3Char">
    <w:name w:val="Heading 3 Char"/>
    <w:aliases w:val="Heading 2TNR Char"/>
    <w:basedOn w:val="DefaultParagraphFont"/>
    <w:link w:val="Heading3"/>
    <w:uiPriority w:val="9"/>
    <w:rsid w:val="00296ABA"/>
    <w:rPr>
      <w:rFonts w:ascii="Times New Roman" w:eastAsiaTheme="majorEastAsia" w:hAnsi="Times New Roman" w:cstheme="majorBidi"/>
      <w:b/>
      <w:color w:val="1F4D78" w:themeColor="accent1" w:themeShade="7F"/>
      <w:sz w:val="28"/>
      <w:szCs w:val="24"/>
    </w:rPr>
  </w:style>
  <w:style w:type="numbering" w:customStyle="1" w:styleId="ListNTR">
    <w:name w:val="ListNTR"/>
    <w:uiPriority w:val="99"/>
    <w:rsid w:val="004D74E2"/>
    <w:pPr>
      <w:numPr>
        <w:numId w:val="1"/>
      </w:numPr>
    </w:pPr>
  </w:style>
  <w:style w:type="paragraph" w:styleId="Footer">
    <w:name w:val="footer"/>
    <w:basedOn w:val="Normal"/>
    <w:link w:val="FooterChar"/>
    <w:uiPriority w:val="99"/>
    <w:unhideWhenUsed/>
    <w:rsid w:val="00E2523E"/>
    <w:pPr>
      <w:tabs>
        <w:tab w:val="center" w:pos="4680"/>
        <w:tab w:val="right" w:pos="9360"/>
      </w:tabs>
      <w:spacing w:after="0" w:line="240" w:lineRule="auto"/>
    </w:pPr>
    <w:rPr>
      <w:rFonts w:cstheme="minorBidi"/>
    </w:rPr>
  </w:style>
  <w:style w:type="character" w:customStyle="1" w:styleId="FooterChar">
    <w:name w:val="Footer Char"/>
    <w:basedOn w:val="DefaultParagraphFont"/>
    <w:link w:val="Footer"/>
    <w:uiPriority w:val="99"/>
    <w:rsid w:val="00E2523E"/>
    <w:rPr>
      <w:rFonts w:ascii="Times New Roman" w:eastAsiaTheme="minorHAnsi" w:hAnsi="Times New Roman"/>
      <w:sz w:val="24"/>
    </w:rPr>
  </w:style>
  <w:style w:type="paragraph" w:styleId="Header">
    <w:name w:val="header"/>
    <w:basedOn w:val="Normal"/>
    <w:link w:val="HeaderChar"/>
    <w:uiPriority w:val="99"/>
    <w:unhideWhenUsed/>
    <w:rsid w:val="00E2523E"/>
    <w:pPr>
      <w:tabs>
        <w:tab w:val="center" w:pos="4680"/>
        <w:tab w:val="right" w:pos="9360"/>
      </w:tabs>
      <w:spacing w:after="0" w:line="240" w:lineRule="auto"/>
    </w:pPr>
    <w:rPr>
      <w:rFonts w:eastAsia="Times New Roman" w:cs="Times New Roman"/>
      <w:szCs w:val="24"/>
    </w:rPr>
  </w:style>
  <w:style w:type="character" w:customStyle="1" w:styleId="HeaderChar">
    <w:name w:val="Header Char"/>
    <w:basedOn w:val="DefaultParagraphFont"/>
    <w:link w:val="Header"/>
    <w:uiPriority w:val="99"/>
    <w:rsid w:val="00E2523E"/>
    <w:rPr>
      <w:rFonts w:ascii="Times New Roman" w:hAnsi="Times New Roman" w:cs="Times New Roman"/>
      <w:sz w:val="24"/>
      <w:szCs w:val="24"/>
    </w:rPr>
  </w:style>
  <w:style w:type="paragraph" w:styleId="ListParagraph">
    <w:name w:val="List Paragraph"/>
    <w:basedOn w:val="Normal"/>
    <w:uiPriority w:val="34"/>
    <w:qFormat/>
    <w:rsid w:val="000D2DA2"/>
    <w:pPr>
      <w:ind w:left="1152" w:hanging="432"/>
      <w:contextualSpacing/>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Header-Footer%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Owner\Documents\ABMekinak\NWIC-TVR%20Evaluation\Data%20Collection\Assessment%20Analysis\assessmen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Owner\Documents\ABMekinak\NWIC-TVR%20Evaluation\Data%20Collection\Assessment%20Analysis\assessmen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Owner\Documents\ABMekinak\NWIC-TVR%20Evaluation\Data%20Collection\Assessment%20Analysis\assessmen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Owner\Documents\ABMekinak\NWIC-TVR%20Evaluation\Data%20Collection\Assessment%20Analysis\assessment.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200" b="1"/>
              <a:t>Figure</a:t>
            </a:r>
            <a:r>
              <a:rPr lang="en-US" sz="1200" b="1" baseline="0"/>
              <a:t> 1 </a:t>
            </a:r>
            <a:r>
              <a:rPr lang="en-US" sz="1200" b="1"/>
              <a:t>Items with 50%</a:t>
            </a:r>
            <a:r>
              <a:rPr lang="en-US" sz="1200" b="1" baseline="0"/>
              <a:t> or More Indicating No to Little Knowledge</a:t>
            </a:r>
            <a:endParaRPr lang="en-US" sz="1200"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knowledge!$I$46</c:f>
              <c:strCache>
                <c:ptCount val="1"/>
                <c:pt idx="0">
                  <c:v>None to Little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knowledge!$B$47:$B$53</c:f>
              <c:strCache>
                <c:ptCount val="7"/>
                <c:pt idx="0">
                  <c:v>Job search skills and job development strategies</c:v>
                </c:pt>
                <c:pt idx="1">
                  <c:v>Providing traditional healing services</c:v>
                </c:pt>
                <c:pt idx="2">
                  <c:v>Conducting a vocational assessment</c:v>
                </c:pt>
                <c:pt idx="3">
                  <c:v>Job placement strategies</c:v>
                </c:pt>
                <c:pt idx="4">
                  <c:v>Supported employment</c:v>
                </c:pt>
                <c:pt idx="5">
                  <c:v> History of VR and tribal VR</c:v>
                </c:pt>
                <c:pt idx="6">
                  <c:v> Accessing and using labor market information</c:v>
                </c:pt>
              </c:strCache>
            </c:strRef>
          </c:cat>
          <c:val>
            <c:numRef>
              <c:f>knowledge!$I$47:$I$53</c:f>
              <c:numCache>
                <c:formatCode>0%</c:formatCode>
                <c:ptCount val="7"/>
                <c:pt idx="0">
                  <c:v>0.60000000000000009</c:v>
                </c:pt>
                <c:pt idx="1">
                  <c:v>0.55000000000000004</c:v>
                </c:pt>
                <c:pt idx="2">
                  <c:v>0.52500000000000002</c:v>
                </c:pt>
                <c:pt idx="3">
                  <c:v>0.52500000000000002</c:v>
                </c:pt>
                <c:pt idx="4">
                  <c:v>0.52500000000000002</c:v>
                </c:pt>
                <c:pt idx="5">
                  <c:v>0.52499999999999991</c:v>
                </c:pt>
                <c:pt idx="6">
                  <c:v>0.5</c:v>
                </c:pt>
              </c:numCache>
            </c:numRef>
          </c:val>
          <c:extLst>
            <c:ext xmlns:c16="http://schemas.microsoft.com/office/drawing/2014/chart" uri="{C3380CC4-5D6E-409C-BE32-E72D297353CC}">
              <c16:uniqueId val="{00000000-8505-4428-9A2C-03A682BD8F01}"/>
            </c:ext>
          </c:extLst>
        </c:ser>
        <c:ser>
          <c:idx val="1"/>
          <c:order val="1"/>
          <c:tx>
            <c:strRef>
              <c:f>knowledge!$J$46</c:f>
              <c:strCache>
                <c:ptCount val="1"/>
                <c:pt idx="0">
                  <c:v>Moderate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knowledge!$B$47:$B$53</c:f>
              <c:strCache>
                <c:ptCount val="7"/>
                <c:pt idx="0">
                  <c:v>Job search skills and job development strategies</c:v>
                </c:pt>
                <c:pt idx="1">
                  <c:v>Providing traditional healing services</c:v>
                </c:pt>
                <c:pt idx="2">
                  <c:v>Conducting a vocational assessment</c:v>
                </c:pt>
                <c:pt idx="3">
                  <c:v>Job placement strategies</c:v>
                </c:pt>
                <c:pt idx="4">
                  <c:v>Supported employment</c:v>
                </c:pt>
                <c:pt idx="5">
                  <c:v> History of VR and tribal VR</c:v>
                </c:pt>
                <c:pt idx="6">
                  <c:v> Accessing and using labor market information</c:v>
                </c:pt>
              </c:strCache>
            </c:strRef>
          </c:cat>
          <c:val>
            <c:numRef>
              <c:f>knowledge!$J$47:$J$53</c:f>
              <c:numCache>
                <c:formatCode>0%</c:formatCode>
                <c:ptCount val="7"/>
                <c:pt idx="0">
                  <c:v>0.3</c:v>
                </c:pt>
                <c:pt idx="1">
                  <c:v>0.27500000000000002</c:v>
                </c:pt>
                <c:pt idx="2">
                  <c:v>0.25</c:v>
                </c:pt>
                <c:pt idx="3">
                  <c:v>0.22500000000000001</c:v>
                </c:pt>
                <c:pt idx="4">
                  <c:v>0.27500000000000002</c:v>
                </c:pt>
                <c:pt idx="5">
                  <c:v>0.35</c:v>
                </c:pt>
                <c:pt idx="6">
                  <c:v>0.27500000000000002</c:v>
                </c:pt>
              </c:numCache>
            </c:numRef>
          </c:val>
          <c:extLst>
            <c:ext xmlns:c16="http://schemas.microsoft.com/office/drawing/2014/chart" uri="{C3380CC4-5D6E-409C-BE32-E72D297353CC}">
              <c16:uniqueId val="{00000001-8505-4428-9A2C-03A682BD8F01}"/>
            </c:ext>
          </c:extLst>
        </c:ser>
        <c:ser>
          <c:idx val="2"/>
          <c:order val="2"/>
          <c:tx>
            <c:strRef>
              <c:f>knowledge!$K$46</c:f>
              <c:strCache>
                <c:ptCount val="1"/>
                <c:pt idx="0">
                  <c:v>High to Very High</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knowledge!$B$47:$B$53</c:f>
              <c:strCache>
                <c:ptCount val="7"/>
                <c:pt idx="0">
                  <c:v>Job search skills and job development strategies</c:v>
                </c:pt>
                <c:pt idx="1">
                  <c:v>Providing traditional healing services</c:v>
                </c:pt>
                <c:pt idx="2">
                  <c:v>Conducting a vocational assessment</c:v>
                </c:pt>
                <c:pt idx="3">
                  <c:v>Job placement strategies</c:v>
                </c:pt>
                <c:pt idx="4">
                  <c:v>Supported employment</c:v>
                </c:pt>
                <c:pt idx="5">
                  <c:v> History of VR and tribal VR</c:v>
                </c:pt>
                <c:pt idx="6">
                  <c:v> Accessing and using labor market information</c:v>
                </c:pt>
              </c:strCache>
            </c:strRef>
          </c:cat>
          <c:val>
            <c:numRef>
              <c:f>knowledge!$K$47:$K$53</c:f>
              <c:numCache>
                <c:formatCode>0%</c:formatCode>
                <c:ptCount val="7"/>
                <c:pt idx="0">
                  <c:v>0.4</c:v>
                </c:pt>
                <c:pt idx="1">
                  <c:v>0.17499999999999999</c:v>
                </c:pt>
                <c:pt idx="2">
                  <c:v>0.22499999999999998</c:v>
                </c:pt>
                <c:pt idx="3">
                  <c:v>0.25</c:v>
                </c:pt>
                <c:pt idx="4">
                  <c:v>0.19999999999999998</c:v>
                </c:pt>
                <c:pt idx="5">
                  <c:v>0.125</c:v>
                </c:pt>
                <c:pt idx="6">
                  <c:v>0.22499999999999998</c:v>
                </c:pt>
              </c:numCache>
            </c:numRef>
          </c:val>
          <c:extLst>
            <c:ext xmlns:c16="http://schemas.microsoft.com/office/drawing/2014/chart" uri="{C3380CC4-5D6E-409C-BE32-E72D297353CC}">
              <c16:uniqueId val="{00000002-8505-4428-9A2C-03A682BD8F01}"/>
            </c:ext>
          </c:extLst>
        </c:ser>
        <c:dLbls>
          <c:dLblPos val="outEnd"/>
          <c:showLegendKey val="0"/>
          <c:showVal val="1"/>
          <c:showCatName val="0"/>
          <c:showSerName val="0"/>
          <c:showPercent val="0"/>
          <c:showBubbleSize val="0"/>
        </c:dLbls>
        <c:gapWidth val="219"/>
        <c:axId val="196941392"/>
        <c:axId val="196943360"/>
      </c:barChart>
      <c:catAx>
        <c:axId val="196941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96943360"/>
        <c:crosses val="autoZero"/>
        <c:auto val="1"/>
        <c:lblAlgn val="ctr"/>
        <c:lblOffset val="100"/>
        <c:noMultiLvlLbl val="0"/>
      </c:catAx>
      <c:valAx>
        <c:axId val="1969433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941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200" b="1"/>
              <a:t>Figure 2  Items with </a:t>
            </a:r>
            <a:r>
              <a:rPr lang="en-US" sz="1200" b="1" i="0" u="none" strike="noStrike" baseline="0">
                <a:effectLst/>
              </a:rPr>
              <a:t>between 48 % to 30% Indicating </a:t>
            </a:r>
            <a:r>
              <a:rPr lang="en-US" sz="1200" b="1"/>
              <a:t>No</a:t>
            </a:r>
            <a:r>
              <a:rPr lang="en-US" sz="1200" b="1" baseline="0"/>
              <a:t> to Little Knowledge</a:t>
            </a:r>
            <a:endParaRPr lang="en-US" sz="1200"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9314029198731113"/>
          <c:y val="8.2422222222222216E-2"/>
          <c:w val="0.4713769409776159"/>
          <c:h val="0.87519247594050742"/>
        </c:manualLayout>
      </c:layout>
      <c:barChart>
        <c:barDir val="bar"/>
        <c:grouping val="clustered"/>
        <c:varyColors val="0"/>
        <c:ser>
          <c:idx val="0"/>
          <c:order val="0"/>
          <c:tx>
            <c:strRef>
              <c:f>knowledge!$I$46</c:f>
              <c:strCache>
                <c:ptCount val="1"/>
                <c:pt idx="0">
                  <c:v>None to Little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knowledge!$B$55:$B$74</c:f>
              <c:strCache>
                <c:ptCount val="20"/>
                <c:pt idx="0">
                  <c:v>Types of case closure and documentation</c:v>
                </c:pt>
                <c:pt idx="1">
                  <c:v>Exploring comparable services and benefits</c:v>
                </c:pt>
                <c:pt idx="2">
                  <c:v>Post-employment services</c:v>
                </c:pt>
                <c:pt idx="3">
                  <c:v>Vocational implications of various disabilities</c:v>
                </c:pt>
                <c:pt idx="4">
                  <c:v>Determining consumer job readiness</c:v>
                </c:pt>
                <c:pt idx="5">
                  <c:v>On-the-job training</c:v>
                </c:pt>
                <c:pt idx="6">
                  <c:v>Assistive technology</c:v>
                </c:pt>
                <c:pt idx="7">
                  <c:v>Providing VR services under the IPE using appropriate cultural protocols</c:v>
                </c:pt>
                <c:pt idx="8">
                  <c:v>Advocating for VR with other departments, programs, and tribal council</c:v>
                </c:pt>
                <c:pt idx="9">
                  <c:v>Communicating with employers</c:v>
                </c:pt>
                <c:pt idx="10">
                  <c:v>VR laws and regulations</c:v>
                </c:pt>
                <c:pt idx="11">
                  <c:v>Types of diagnostic tools to document disability</c:v>
                </c:pt>
                <c:pt idx="12">
                  <c:v>Identifying required services to obtain the vocational goal</c:v>
                </c:pt>
                <c:pt idx="13">
                  <c:v>Caseload data gathering</c:v>
                </c:pt>
                <c:pt idx="14">
                  <c:v>Medical aspects of various disabilities</c:v>
                </c:pt>
                <c:pt idx="15">
                  <c:v>Using disability documentation to prepare an eligibility statement</c:v>
                </c:pt>
                <c:pt idx="16">
                  <c:v>Partnering with the consumer to create the IPE</c:v>
                </c:pt>
                <c:pt idx="17">
                  <c:v> Psychosocial impacts of disability</c:v>
                </c:pt>
                <c:pt idx="18">
                  <c:v>Cultural perception of disability</c:v>
                </c:pt>
                <c:pt idx="19">
                  <c:v>Helping the consumer to identify a vocational goal</c:v>
                </c:pt>
              </c:strCache>
            </c:strRef>
          </c:cat>
          <c:val>
            <c:numRef>
              <c:f>knowledge!$I$55:$I$74</c:f>
              <c:numCache>
                <c:formatCode>0%</c:formatCode>
                <c:ptCount val="20"/>
                <c:pt idx="0">
                  <c:v>0.47500000000000003</c:v>
                </c:pt>
                <c:pt idx="1">
                  <c:v>0.47499999999999998</c:v>
                </c:pt>
                <c:pt idx="2">
                  <c:v>0.47499999999999998</c:v>
                </c:pt>
                <c:pt idx="3">
                  <c:v>0.45</c:v>
                </c:pt>
                <c:pt idx="4">
                  <c:v>0.45</c:v>
                </c:pt>
                <c:pt idx="5">
                  <c:v>0.45</c:v>
                </c:pt>
                <c:pt idx="6">
                  <c:v>0.44999999999999996</c:v>
                </c:pt>
                <c:pt idx="7">
                  <c:v>0.4</c:v>
                </c:pt>
                <c:pt idx="8">
                  <c:v>0.39999999999999997</c:v>
                </c:pt>
                <c:pt idx="9">
                  <c:v>0.39999999999999997</c:v>
                </c:pt>
                <c:pt idx="10">
                  <c:v>0.375</c:v>
                </c:pt>
                <c:pt idx="11">
                  <c:v>0.375</c:v>
                </c:pt>
                <c:pt idx="12">
                  <c:v>0.375</c:v>
                </c:pt>
                <c:pt idx="13">
                  <c:v>0.35000000000000003</c:v>
                </c:pt>
                <c:pt idx="14">
                  <c:v>0.35</c:v>
                </c:pt>
                <c:pt idx="15">
                  <c:v>0.35</c:v>
                </c:pt>
                <c:pt idx="16">
                  <c:v>0.32500000000000001</c:v>
                </c:pt>
                <c:pt idx="17">
                  <c:v>0.32200000000000001</c:v>
                </c:pt>
                <c:pt idx="18">
                  <c:v>0.30000000000000004</c:v>
                </c:pt>
                <c:pt idx="19">
                  <c:v>0.30000000000000004</c:v>
                </c:pt>
              </c:numCache>
            </c:numRef>
          </c:val>
          <c:extLst>
            <c:ext xmlns:c16="http://schemas.microsoft.com/office/drawing/2014/chart" uri="{C3380CC4-5D6E-409C-BE32-E72D297353CC}">
              <c16:uniqueId val="{00000000-105B-400D-B29A-5E1410155ECC}"/>
            </c:ext>
          </c:extLst>
        </c:ser>
        <c:ser>
          <c:idx val="1"/>
          <c:order val="1"/>
          <c:tx>
            <c:strRef>
              <c:f>knowledge!$J$46</c:f>
              <c:strCache>
                <c:ptCount val="1"/>
                <c:pt idx="0">
                  <c:v>Moderate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knowledge!$B$55:$B$74</c:f>
              <c:strCache>
                <c:ptCount val="20"/>
                <c:pt idx="0">
                  <c:v>Types of case closure and documentation</c:v>
                </c:pt>
                <c:pt idx="1">
                  <c:v>Exploring comparable services and benefits</c:v>
                </c:pt>
                <c:pt idx="2">
                  <c:v>Post-employment services</c:v>
                </c:pt>
                <c:pt idx="3">
                  <c:v>Vocational implications of various disabilities</c:v>
                </c:pt>
                <c:pt idx="4">
                  <c:v>Determining consumer job readiness</c:v>
                </c:pt>
                <c:pt idx="5">
                  <c:v>On-the-job training</c:v>
                </c:pt>
                <c:pt idx="6">
                  <c:v>Assistive technology</c:v>
                </c:pt>
                <c:pt idx="7">
                  <c:v>Providing VR services under the IPE using appropriate cultural protocols</c:v>
                </c:pt>
                <c:pt idx="8">
                  <c:v>Advocating for VR with other departments, programs, and tribal council</c:v>
                </c:pt>
                <c:pt idx="9">
                  <c:v>Communicating with employers</c:v>
                </c:pt>
                <c:pt idx="10">
                  <c:v>VR laws and regulations</c:v>
                </c:pt>
                <c:pt idx="11">
                  <c:v>Types of diagnostic tools to document disability</c:v>
                </c:pt>
                <c:pt idx="12">
                  <c:v>Identifying required services to obtain the vocational goal</c:v>
                </c:pt>
                <c:pt idx="13">
                  <c:v>Caseload data gathering</c:v>
                </c:pt>
                <c:pt idx="14">
                  <c:v>Medical aspects of various disabilities</c:v>
                </c:pt>
                <c:pt idx="15">
                  <c:v>Using disability documentation to prepare an eligibility statement</c:v>
                </c:pt>
                <c:pt idx="16">
                  <c:v>Partnering with the consumer to create the IPE</c:v>
                </c:pt>
                <c:pt idx="17">
                  <c:v> Psychosocial impacts of disability</c:v>
                </c:pt>
                <c:pt idx="18">
                  <c:v>Cultural perception of disability</c:v>
                </c:pt>
                <c:pt idx="19">
                  <c:v>Helping the consumer to identify a vocational goal</c:v>
                </c:pt>
              </c:strCache>
            </c:strRef>
          </c:cat>
          <c:val>
            <c:numRef>
              <c:f>knowledge!$J$55:$J$74</c:f>
              <c:numCache>
                <c:formatCode>0%</c:formatCode>
                <c:ptCount val="20"/>
                <c:pt idx="0">
                  <c:v>0.2</c:v>
                </c:pt>
                <c:pt idx="1">
                  <c:v>0.22500000000000001</c:v>
                </c:pt>
                <c:pt idx="2">
                  <c:v>0.27500000000000002</c:v>
                </c:pt>
                <c:pt idx="3">
                  <c:v>0.35</c:v>
                </c:pt>
                <c:pt idx="4">
                  <c:v>0.27500000000000002</c:v>
                </c:pt>
                <c:pt idx="5">
                  <c:v>0.35</c:v>
                </c:pt>
                <c:pt idx="6">
                  <c:v>0.35</c:v>
                </c:pt>
                <c:pt idx="7">
                  <c:v>0.32500000000000001</c:v>
                </c:pt>
                <c:pt idx="8">
                  <c:v>0.3</c:v>
                </c:pt>
                <c:pt idx="9">
                  <c:v>0.32500000000000001</c:v>
                </c:pt>
                <c:pt idx="10">
                  <c:v>0.47499999999999998</c:v>
                </c:pt>
                <c:pt idx="11">
                  <c:v>0.42499999999999999</c:v>
                </c:pt>
                <c:pt idx="12">
                  <c:v>0.35</c:v>
                </c:pt>
                <c:pt idx="13">
                  <c:v>0.375</c:v>
                </c:pt>
                <c:pt idx="14">
                  <c:v>0.5</c:v>
                </c:pt>
                <c:pt idx="15">
                  <c:v>0.42499999999999999</c:v>
                </c:pt>
                <c:pt idx="16">
                  <c:v>0.35</c:v>
                </c:pt>
                <c:pt idx="17">
                  <c:v>0.5</c:v>
                </c:pt>
                <c:pt idx="18">
                  <c:v>0.45</c:v>
                </c:pt>
                <c:pt idx="19">
                  <c:v>0.4</c:v>
                </c:pt>
              </c:numCache>
            </c:numRef>
          </c:val>
          <c:extLst>
            <c:ext xmlns:c16="http://schemas.microsoft.com/office/drawing/2014/chart" uri="{C3380CC4-5D6E-409C-BE32-E72D297353CC}">
              <c16:uniqueId val="{00000001-105B-400D-B29A-5E1410155ECC}"/>
            </c:ext>
          </c:extLst>
        </c:ser>
        <c:ser>
          <c:idx val="2"/>
          <c:order val="2"/>
          <c:tx>
            <c:strRef>
              <c:f>knowledge!$K$46</c:f>
              <c:strCache>
                <c:ptCount val="1"/>
                <c:pt idx="0">
                  <c:v>High to Very High</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knowledge!$B$55:$B$74</c:f>
              <c:strCache>
                <c:ptCount val="20"/>
                <c:pt idx="0">
                  <c:v>Types of case closure and documentation</c:v>
                </c:pt>
                <c:pt idx="1">
                  <c:v>Exploring comparable services and benefits</c:v>
                </c:pt>
                <c:pt idx="2">
                  <c:v>Post-employment services</c:v>
                </c:pt>
                <c:pt idx="3">
                  <c:v>Vocational implications of various disabilities</c:v>
                </c:pt>
                <c:pt idx="4">
                  <c:v>Determining consumer job readiness</c:v>
                </c:pt>
                <c:pt idx="5">
                  <c:v>On-the-job training</c:v>
                </c:pt>
                <c:pt idx="6">
                  <c:v>Assistive technology</c:v>
                </c:pt>
                <c:pt idx="7">
                  <c:v>Providing VR services under the IPE using appropriate cultural protocols</c:v>
                </c:pt>
                <c:pt idx="8">
                  <c:v>Advocating for VR with other departments, programs, and tribal council</c:v>
                </c:pt>
                <c:pt idx="9">
                  <c:v>Communicating with employers</c:v>
                </c:pt>
                <c:pt idx="10">
                  <c:v>VR laws and regulations</c:v>
                </c:pt>
                <c:pt idx="11">
                  <c:v>Types of diagnostic tools to document disability</c:v>
                </c:pt>
                <c:pt idx="12">
                  <c:v>Identifying required services to obtain the vocational goal</c:v>
                </c:pt>
                <c:pt idx="13">
                  <c:v>Caseload data gathering</c:v>
                </c:pt>
                <c:pt idx="14">
                  <c:v>Medical aspects of various disabilities</c:v>
                </c:pt>
                <c:pt idx="15">
                  <c:v>Using disability documentation to prepare an eligibility statement</c:v>
                </c:pt>
                <c:pt idx="16">
                  <c:v>Partnering with the consumer to create the IPE</c:v>
                </c:pt>
                <c:pt idx="17">
                  <c:v> Psychosocial impacts of disability</c:v>
                </c:pt>
                <c:pt idx="18">
                  <c:v>Cultural perception of disability</c:v>
                </c:pt>
                <c:pt idx="19">
                  <c:v>Helping the consumer to identify a vocational goal</c:v>
                </c:pt>
              </c:strCache>
            </c:strRef>
          </c:cat>
          <c:val>
            <c:numRef>
              <c:f>knowledge!$K$55:$K$74</c:f>
              <c:numCache>
                <c:formatCode>0%</c:formatCode>
                <c:ptCount val="20"/>
                <c:pt idx="0">
                  <c:v>0.32500000000000001</c:v>
                </c:pt>
                <c:pt idx="1">
                  <c:v>0.3</c:v>
                </c:pt>
                <c:pt idx="2">
                  <c:v>0.25</c:v>
                </c:pt>
                <c:pt idx="3">
                  <c:v>0.19999999999999998</c:v>
                </c:pt>
                <c:pt idx="4">
                  <c:v>0.27500000000000002</c:v>
                </c:pt>
                <c:pt idx="5">
                  <c:v>0.2</c:v>
                </c:pt>
                <c:pt idx="6">
                  <c:v>0.2</c:v>
                </c:pt>
                <c:pt idx="7">
                  <c:v>0.27500000000000002</c:v>
                </c:pt>
                <c:pt idx="8">
                  <c:v>0.3</c:v>
                </c:pt>
                <c:pt idx="9">
                  <c:v>0.27500000000000002</c:v>
                </c:pt>
                <c:pt idx="10">
                  <c:v>0.15</c:v>
                </c:pt>
                <c:pt idx="11">
                  <c:v>0.19999999999999998</c:v>
                </c:pt>
                <c:pt idx="12">
                  <c:v>0.27500000000000002</c:v>
                </c:pt>
                <c:pt idx="13">
                  <c:v>0.27500000000000002</c:v>
                </c:pt>
                <c:pt idx="14">
                  <c:v>0.15</c:v>
                </c:pt>
                <c:pt idx="15">
                  <c:v>0.22500000000000001</c:v>
                </c:pt>
                <c:pt idx="16">
                  <c:v>0.32500000000000001</c:v>
                </c:pt>
                <c:pt idx="17">
                  <c:v>0.17499999999999999</c:v>
                </c:pt>
                <c:pt idx="18">
                  <c:v>0.25</c:v>
                </c:pt>
                <c:pt idx="19">
                  <c:v>0.3</c:v>
                </c:pt>
              </c:numCache>
            </c:numRef>
          </c:val>
          <c:extLst>
            <c:ext xmlns:c16="http://schemas.microsoft.com/office/drawing/2014/chart" uri="{C3380CC4-5D6E-409C-BE32-E72D297353CC}">
              <c16:uniqueId val="{00000002-105B-400D-B29A-5E1410155ECC}"/>
            </c:ext>
          </c:extLst>
        </c:ser>
        <c:dLbls>
          <c:dLblPos val="outEnd"/>
          <c:showLegendKey val="0"/>
          <c:showVal val="1"/>
          <c:showCatName val="0"/>
          <c:showSerName val="0"/>
          <c:showPercent val="0"/>
          <c:showBubbleSize val="0"/>
        </c:dLbls>
        <c:gapWidth val="182"/>
        <c:axId val="385628200"/>
        <c:axId val="385628528"/>
      </c:barChart>
      <c:catAx>
        <c:axId val="385628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85628528"/>
        <c:crosses val="autoZero"/>
        <c:auto val="1"/>
        <c:lblAlgn val="ctr"/>
        <c:lblOffset val="100"/>
        <c:noMultiLvlLbl val="0"/>
      </c:catAx>
      <c:valAx>
        <c:axId val="3856285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5628200"/>
        <c:crosses val="autoZero"/>
        <c:crossBetween val="between"/>
      </c:valAx>
      <c:spPr>
        <a:noFill/>
        <a:ln>
          <a:noFill/>
        </a:ln>
        <a:effectLst/>
      </c:spPr>
    </c:plotArea>
    <c:legend>
      <c:legendPos val="b"/>
      <c:layout>
        <c:manualLayout>
          <c:xMode val="edge"/>
          <c:yMode val="edge"/>
          <c:x val="3.7842509217753555E-2"/>
          <c:y val="0.96262235602902579"/>
          <c:w val="0.31946287122883321"/>
          <c:h val="2.757372240234676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Figure</a:t>
            </a:r>
            <a:r>
              <a:rPr lang="en-US" sz="1200" b="1" baseline="0"/>
              <a:t> 3  </a:t>
            </a:r>
            <a:r>
              <a:rPr lang="en-US" sz="1200" b="1"/>
              <a:t>Items with</a:t>
            </a:r>
            <a:r>
              <a:rPr lang="en-US" sz="1200" b="1" baseline="0"/>
              <a:t> No to Little Knowledge between 28% and 5% </a:t>
            </a:r>
            <a:endParaRPr lang="en-US" sz="1200" b="1"/>
          </a:p>
        </c:rich>
      </c:tx>
      <c:layout>
        <c:manualLayout>
          <c:xMode val="edge"/>
          <c:yMode val="edge"/>
          <c:x val="0.20653907610019104"/>
          <c:y val="2.777769250032563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4282466280759292"/>
          <c:y val="0.10329260628409058"/>
          <c:w val="0.51929401856275792"/>
          <c:h val="0.82688007178509726"/>
        </c:manualLayout>
      </c:layout>
      <c:barChart>
        <c:barDir val="bar"/>
        <c:grouping val="clustered"/>
        <c:varyColors val="0"/>
        <c:ser>
          <c:idx val="0"/>
          <c:order val="0"/>
          <c:tx>
            <c:strRef>
              <c:f>knowledge!$I$46</c:f>
              <c:strCache>
                <c:ptCount val="1"/>
                <c:pt idx="0">
                  <c:v>None to Little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knowledge!$B$76:$B$88</c:f>
              <c:strCache>
                <c:ptCount val="13"/>
                <c:pt idx="0">
                  <c:v>Managing multiple cases</c:v>
                </c:pt>
                <c:pt idx="1">
                  <c:v>Collaboration with other counselors and programs</c:v>
                </c:pt>
                <c:pt idx="2">
                  <c:v>Required case documentation</c:v>
                </c:pt>
                <c:pt idx="3">
                  <c:v>Monitoring consumer progress in the IPE</c:v>
                </c:pt>
                <c:pt idx="4">
                  <c:v> Basic VR terms</c:v>
                </c:pt>
                <c:pt idx="5">
                  <c:v>Organization and time management</c:v>
                </c:pt>
                <c:pt idx="6">
                  <c:v> How "functional limitations" affect employment</c:v>
                </c:pt>
                <c:pt idx="7">
                  <c:v>TVR program policies and procedures</c:v>
                </c:pt>
                <c:pt idx="8">
                  <c:v>Rehabilitation counseling practices and active listening</c:v>
                </c:pt>
                <c:pt idx="9">
                  <c:v>Concept of "barriers to employment"</c:v>
                </c:pt>
                <c:pt idx="10">
                  <c:v>Establishing rapport with consumers</c:v>
                </c:pt>
                <c:pt idx="11">
                  <c:v>Required elements for TVR eligibility</c:v>
                </c:pt>
                <c:pt idx="12">
                  <c:v>Ethics and confidentiality</c:v>
                </c:pt>
              </c:strCache>
            </c:strRef>
          </c:cat>
          <c:val>
            <c:numRef>
              <c:f>knowledge!$I$76:$I$88</c:f>
              <c:numCache>
                <c:formatCode>0%</c:formatCode>
                <c:ptCount val="13"/>
                <c:pt idx="0">
                  <c:v>0.27500000000000002</c:v>
                </c:pt>
                <c:pt idx="1">
                  <c:v>0.27500000000000002</c:v>
                </c:pt>
                <c:pt idx="2">
                  <c:v>0.25</c:v>
                </c:pt>
                <c:pt idx="3">
                  <c:v>0.25</c:v>
                </c:pt>
                <c:pt idx="4">
                  <c:v>0.22500000000000001</c:v>
                </c:pt>
                <c:pt idx="5">
                  <c:v>0.19999999999999998</c:v>
                </c:pt>
                <c:pt idx="6">
                  <c:v>0.17499999999999999</c:v>
                </c:pt>
                <c:pt idx="7">
                  <c:v>0.17499999999999999</c:v>
                </c:pt>
                <c:pt idx="8">
                  <c:v>0.15</c:v>
                </c:pt>
                <c:pt idx="9">
                  <c:v>0.125</c:v>
                </c:pt>
                <c:pt idx="10">
                  <c:v>0.125</c:v>
                </c:pt>
                <c:pt idx="11">
                  <c:v>0.1</c:v>
                </c:pt>
                <c:pt idx="12">
                  <c:v>0.05</c:v>
                </c:pt>
              </c:numCache>
            </c:numRef>
          </c:val>
          <c:extLst>
            <c:ext xmlns:c16="http://schemas.microsoft.com/office/drawing/2014/chart" uri="{C3380CC4-5D6E-409C-BE32-E72D297353CC}">
              <c16:uniqueId val="{00000000-78DC-4BC4-B93C-FE8C66BC5102}"/>
            </c:ext>
          </c:extLst>
        </c:ser>
        <c:ser>
          <c:idx val="1"/>
          <c:order val="1"/>
          <c:tx>
            <c:strRef>
              <c:f>knowledge!$J$46</c:f>
              <c:strCache>
                <c:ptCount val="1"/>
                <c:pt idx="0">
                  <c:v>Moderate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knowledge!$B$76:$B$88</c:f>
              <c:strCache>
                <c:ptCount val="13"/>
                <c:pt idx="0">
                  <c:v>Managing multiple cases</c:v>
                </c:pt>
                <c:pt idx="1">
                  <c:v>Collaboration with other counselors and programs</c:v>
                </c:pt>
                <c:pt idx="2">
                  <c:v>Required case documentation</c:v>
                </c:pt>
                <c:pt idx="3">
                  <c:v>Monitoring consumer progress in the IPE</c:v>
                </c:pt>
                <c:pt idx="4">
                  <c:v> Basic VR terms</c:v>
                </c:pt>
                <c:pt idx="5">
                  <c:v>Organization and time management</c:v>
                </c:pt>
                <c:pt idx="6">
                  <c:v> How "functional limitations" affect employment</c:v>
                </c:pt>
                <c:pt idx="7">
                  <c:v>TVR program policies and procedures</c:v>
                </c:pt>
                <c:pt idx="8">
                  <c:v>Rehabilitation counseling practices and active listening</c:v>
                </c:pt>
                <c:pt idx="9">
                  <c:v>Concept of "barriers to employment"</c:v>
                </c:pt>
                <c:pt idx="10">
                  <c:v>Establishing rapport with consumers</c:v>
                </c:pt>
                <c:pt idx="11">
                  <c:v>Required elements for TVR eligibility</c:v>
                </c:pt>
                <c:pt idx="12">
                  <c:v>Ethics and confidentiality</c:v>
                </c:pt>
              </c:strCache>
            </c:strRef>
          </c:cat>
          <c:val>
            <c:numRef>
              <c:f>knowledge!$J$76:$J$88</c:f>
              <c:numCache>
                <c:formatCode>0%</c:formatCode>
                <c:ptCount val="13"/>
                <c:pt idx="0">
                  <c:v>0.3</c:v>
                </c:pt>
                <c:pt idx="1">
                  <c:v>0.32500000000000001</c:v>
                </c:pt>
                <c:pt idx="2">
                  <c:v>0.375</c:v>
                </c:pt>
                <c:pt idx="3">
                  <c:v>0.4</c:v>
                </c:pt>
                <c:pt idx="4">
                  <c:v>0.45</c:v>
                </c:pt>
                <c:pt idx="5">
                  <c:v>0.375</c:v>
                </c:pt>
                <c:pt idx="6">
                  <c:v>0.625</c:v>
                </c:pt>
                <c:pt idx="7">
                  <c:v>0.4</c:v>
                </c:pt>
                <c:pt idx="8">
                  <c:v>0.52500000000000002</c:v>
                </c:pt>
                <c:pt idx="9">
                  <c:v>0.57499999999999996</c:v>
                </c:pt>
                <c:pt idx="10">
                  <c:v>0.42499999999999999</c:v>
                </c:pt>
                <c:pt idx="11">
                  <c:v>0.47499999999999998</c:v>
                </c:pt>
                <c:pt idx="12">
                  <c:v>0.25</c:v>
                </c:pt>
              </c:numCache>
            </c:numRef>
          </c:val>
          <c:extLst>
            <c:ext xmlns:c16="http://schemas.microsoft.com/office/drawing/2014/chart" uri="{C3380CC4-5D6E-409C-BE32-E72D297353CC}">
              <c16:uniqueId val="{00000001-78DC-4BC4-B93C-FE8C66BC5102}"/>
            </c:ext>
          </c:extLst>
        </c:ser>
        <c:ser>
          <c:idx val="2"/>
          <c:order val="2"/>
          <c:tx>
            <c:strRef>
              <c:f>knowledge!$K$46</c:f>
              <c:strCache>
                <c:ptCount val="1"/>
                <c:pt idx="0">
                  <c:v>High to Very High</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knowledge!$B$76:$B$88</c:f>
              <c:strCache>
                <c:ptCount val="13"/>
                <c:pt idx="0">
                  <c:v>Managing multiple cases</c:v>
                </c:pt>
                <c:pt idx="1">
                  <c:v>Collaboration with other counselors and programs</c:v>
                </c:pt>
                <c:pt idx="2">
                  <c:v>Required case documentation</c:v>
                </c:pt>
                <c:pt idx="3">
                  <c:v>Monitoring consumer progress in the IPE</c:v>
                </c:pt>
                <c:pt idx="4">
                  <c:v> Basic VR terms</c:v>
                </c:pt>
                <c:pt idx="5">
                  <c:v>Organization and time management</c:v>
                </c:pt>
                <c:pt idx="6">
                  <c:v> How "functional limitations" affect employment</c:v>
                </c:pt>
                <c:pt idx="7">
                  <c:v>TVR program policies and procedures</c:v>
                </c:pt>
                <c:pt idx="8">
                  <c:v>Rehabilitation counseling practices and active listening</c:v>
                </c:pt>
                <c:pt idx="9">
                  <c:v>Concept of "barriers to employment"</c:v>
                </c:pt>
                <c:pt idx="10">
                  <c:v>Establishing rapport with consumers</c:v>
                </c:pt>
                <c:pt idx="11">
                  <c:v>Required elements for TVR eligibility</c:v>
                </c:pt>
                <c:pt idx="12">
                  <c:v>Ethics and confidentiality</c:v>
                </c:pt>
              </c:strCache>
            </c:strRef>
          </c:cat>
          <c:val>
            <c:numRef>
              <c:f>knowledge!$K$76:$K$88</c:f>
              <c:numCache>
                <c:formatCode>0%</c:formatCode>
                <c:ptCount val="13"/>
                <c:pt idx="0">
                  <c:v>0.42500000000000004</c:v>
                </c:pt>
                <c:pt idx="1">
                  <c:v>0.4</c:v>
                </c:pt>
                <c:pt idx="2">
                  <c:v>0.375</c:v>
                </c:pt>
                <c:pt idx="3">
                  <c:v>0.35</c:v>
                </c:pt>
                <c:pt idx="4">
                  <c:v>0.32500000000000001</c:v>
                </c:pt>
                <c:pt idx="5">
                  <c:v>0.42499999999999999</c:v>
                </c:pt>
                <c:pt idx="6">
                  <c:v>0.2</c:v>
                </c:pt>
                <c:pt idx="7">
                  <c:v>0.42499999999999999</c:v>
                </c:pt>
                <c:pt idx="8">
                  <c:v>0.32500000000000001</c:v>
                </c:pt>
                <c:pt idx="9">
                  <c:v>0.3</c:v>
                </c:pt>
                <c:pt idx="10">
                  <c:v>0.45</c:v>
                </c:pt>
                <c:pt idx="11">
                  <c:v>0.42500000000000004</c:v>
                </c:pt>
                <c:pt idx="12">
                  <c:v>0.7</c:v>
                </c:pt>
              </c:numCache>
            </c:numRef>
          </c:val>
          <c:extLst>
            <c:ext xmlns:c16="http://schemas.microsoft.com/office/drawing/2014/chart" uri="{C3380CC4-5D6E-409C-BE32-E72D297353CC}">
              <c16:uniqueId val="{00000002-78DC-4BC4-B93C-FE8C66BC5102}"/>
            </c:ext>
          </c:extLst>
        </c:ser>
        <c:dLbls>
          <c:dLblPos val="outEnd"/>
          <c:showLegendKey val="0"/>
          <c:showVal val="1"/>
          <c:showCatName val="0"/>
          <c:showSerName val="0"/>
          <c:showPercent val="0"/>
          <c:showBubbleSize val="0"/>
        </c:dLbls>
        <c:gapWidth val="182"/>
        <c:axId val="294422736"/>
        <c:axId val="294419784"/>
      </c:barChart>
      <c:catAx>
        <c:axId val="294422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94419784"/>
        <c:crosses val="autoZero"/>
        <c:auto val="1"/>
        <c:lblAlgn val="ctr"/>
        <c:lblOffset val="100"/>
        <c:noMultiLvlLbl val="0"/>
      </c:catAx>
      <c:valAx>
        <c:axId val="2944197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422736"/>
        <c:crosses val="autoZero"/>
        <c:crossBetween val="between"/>
      </c:valAx>
      <c:spPr>
        <a:noFill/>
        <a:ln>
          <a:noFill/>
        </a:ln>
        <a:effectLst/>
      </c:spPr>
    </c:plotArea>
    <c:legend>
      <c:legendPos val="b"/>
      <c:layout>
        <c:manualLayout>
          <c:xMode val="edge"/>
          <c:yMode val="edge"/>
          <c:x val="1.3556318983087859E-2"/>
          <c:y val="0.91958516564121751"/>
          <c:w val="0.35960359589299495"/>
          <c:h val="7.484499848474150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Mean Ratings of</a:t>
            </a:r>
            <a:r>
              <a:rPr lang="en-US" b="1" baseline="0"/>
              <a:t> Level of Knowledge and Application </a:t>
            </a:r>
            <a:r>
              <a:rPr lang="en-US" b="1"/>
              <a:t> </a:t>
            </a:r>
          </a:p>
        </c:rich>
      </c:tx>
      <c:layout>
        <c:manualLayout>
          <c:xMode val="edge"/>
          <c:yMode val="edge"/>
          <c:x val="0.23841131664853102"/>
          <c:y val="2.000941619585687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50244931298712792"/>
          <c:y val="5.6350653296870251E-2"/>
          <c:w val="0.47346653757507734"/>
          <c:h val="0.92126526619596905"/>
        </c:manualLayout>
      </c:layout>
      <c:barChart>
        <c:barDir val="bar"/>
        <c:grouping val="clustered"/>
        <c:varyColors val="0"/>
        <c:ser>
          <c:idx val="0"/>
          <c:order val="0"/>
          <c:tx>
            <c:strRef>
              <c:f>Means!$C$47</c:f>
              <c:strCache>
                <c:ptCount val="1"/>
                <c:pt idx="0">
                  <c:v>Knowledge Mean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Means!$B$48:$B$87</c:f>
              <c:strCache>
                <c:ptCount val="40"/>
                <c:pt idx="0">
                  <c:v> History of VR and tribal VR</c:v>
                </c:pt>
                <c:pt idx="1">
                  <c:v>Conducting a vocational assessment</c:v>
                </c:pt>
                <c:pt idx="2">
                  <c:v>Providing traditional healing services</c:v>
                </c:pt>
                <c:pt idx="3">
                  <c:v>Supported employment</c:v>
                </c:pt>
                <c:pt idx="4">
                  <c:v>Assistive technology</c:v>
                </c:pt>
                <c:pt idx="5">
                  <c:v> Accessing and using labor market information</c:v>
                </c:pt>
                <c:pt idx="6">
                  <c:v>Job placement strategies</c:v>
                </c:pt>
                <c:pt idx="7">
                  <c:v>Vocational implications of various disabilities</c:v>
                </c:pt>
                <c:pt idx="8">
                  <c:v>VR laws and regulations</c:v>
                </c:pt>
                <c:pt idx="9">
                  <c:v>Medical aspects of various disabilities</c:v>
                </c:pt>
                <c:pt idx="10">
                  <c:v>Types of diagnostic tools to document disability</c:v>
                </c:pt>
                <c:pt idx="11">
                  <c:v>Using disability documentation to prepare an eligibility statement</c:v>
                </c:pt>
                <c:pt idx="12">
                  <c:v>Post-employment services</c:v>
                </c:pt>
                <c:pt idx="13">
                  <c:v>Exploring comparable services and benefits</c:v>
                </c:pt>
                <c:pt idx="14">
                  <c:v>Providing VR services under the IPE using appropriate cultural protocols</c:v>
                </c:pt>
                <c:pt idx="15">
                  <c:v>Determining consumer job readiness</c:v>
                </c:pt>
                <c:pt idx="16">
                  <c:v> Psychosocial impacts of disability</c:v>
                </c:pt>
                <c:pt idx="17">
                  <c:v>Identifying required services to obtain the vocational goal</c:v>
                </c:pt>
                <c:pt idx="18">
                  <c:v>Communicating with employers</c:v>
                </c:pt>
                <c:pt idx="19">
                  <c:v>On-the-job training</c:v>
                </c:pt>
                <c:pt idx="20">
                  <c:v>Types of case closure and documentation</c:v>
                </c:pt>
                <c:pt idx="21">
                  <c:v>Caseload data gathering</c:v>
                </c:pt>
                <c:pt idx="22">
                  <c:v>Cultural perception of disability</c:v>
                </c:pt>
                <c:pt idx="23">
                  <c:v>Partnering with the consumer to create the IPE</c:v>
                </c:pt>
                <c:pt idx="24">
                  <c:v>Advocating for VR with other departments, programs, and tribal council</c:v>
                </c:pt>
                <c:pt idx="25">
                  <c:v>Helping the consumer to identify a vocational goal</c:v>
                </c:pt>
                <c:pt idx="26">
                  <c:v> How "functional limitations" affect employment</c:v>
                </c:pt>
                <c:pt idx="27">
                  <c:v> Basic VR terms</c:v>
                </c:pt>
                <c:pt idx="28">
                  <c:v>Monitoring consumer progress in the IPE</c:v>
                </c:pt>
                <c:pt idx="29">
                  <c:v>Job search skills and job development strategies</c:v>
                </c:pt>
                <c:pt idx="30">
                  <c:v>Concept of "barriers to employment"</c:v>
                </c:pt>
                <c:pt idx="31">
                  <c:v>Collaboration with other counselors and programs</c:v>
                </c:pt>
                <c:pt idx="32">
                  <c:v>TVR program policies and procedures</c:v>
                </c:pt>
                <c:pt idx="33">
                  <c:v>Required case documentation</c:v>
                </c:pt>
                <c:pt idx="34">
                  <c:v>Managing multiple cases</c:v>
                </c:pt>
                <c:pt idx="35">
                  <c:v>Rehabilitation counseling practices and active listening</c:v>
                </c:pt>
                <c:pt idx="36">
                  <c:v>Organization and time management</c:v>
                </c:pt>
                <c:pt idx="37">
                  <c:v>Required elements for TVR eligibility</c:v>
                </c:pt>
                <c:pt idx="38">
                  <c:v>Establishing rapport with consumers</c:v>
                </c:pt>
                <c:pt idx="39">
                  <c:v>Ethics and confidentiality</c:v>
                </c:pt>
              </c:strCache>
            </c:strRef>
          </c:cat>
          <c:val>
            <c:numRef>
              <c:f>Means!$C$48:$C$87</c:f>
              <c:numCache>
                <c:formatCode>General</c:formatCode>
                <c:ptCount val="40"/>
                <c:pt idx="0">
                  <c:v>2.4500000000000002</c:v>
                </c:pt>
                <c:pt idx="1">
                  <c:v>2.5499999999999998</c:v>
                </c:pt>
                <c:pt idx="2">
                  <c:v>2.5499999999999998</c:v>
                </c:pt>
                <c:pt idx="3">
                  <c:v>2.5499999999999998</c:v>
                </c:pt>
                <c:pt idx="4">
                  <c:v>2.6</c:v>
                </c:pt>
                <c:pt idx="5">
                  <c:v>2.63</c:v>
                </c:pt>
                <c:pt idx="6">
                  <c:v>2.7</c:v>
                </c:pt>
                <c:pt idx="7">
                  <c:v>2.73</c:v>
                </c:pt>
                <c:pt idx="8">
                  <c:v>2.75</c:v>
                </c:pt>
                <c:pt idx="9">
                  <c:v>2.78</c:v>
                </c:pt>
                <c:pt idx="10">
                  <c:v>2.78</c:v>
                </c:pt>
                <c:pt idx="11">
                  <c:v>2.8</c:v>
                </c:pt>
                <c:pt idx="12">
                  <c:v>2.8</c:v>
                </c:pt>
                <c:pt idx="13">
                  <c:v>2.83</c:v>
                </c:pt>
                <c:pt idx="14">
                  <c:v>2.83</c:v>
                </c:pt>
                <c:pt idx="15">
                  <c:v>2.85</c:v>
                </c:pt>
                <c:pt idx="16">
                  <c:v>2.88</c:v>
                </c:pt>
                <c:pt idx="17">
                  <c:v>2.88</c:v>
                </c:pt>
                <c:pt idx="18">
                  <c:v>2.88</c:v>
                </c:pt>
                <c:pt idx="19">
                  <c:v>2.88</c:v>
                </c:pt>
                <c:pt idx="20">
                  <c:v>2.88</c:v>
                </c:pt>
                <c:pt idx="21">
                  <c:v>2.92</c:v>
                </c:pt>
                <c:pt idx="22">
                  <c:v>2.98</c:v>
                </c:pt>
                <c:pt idx="23">
                  <c:v>2.98</c:v>
                </c:pt>
                <c:pt idx="24">
                  <c:v>2.98</c:v>
                </c:pt>
                <c:pt idx="25">
                  <c:v>3.03</c:v>
                </c:pt>
                <c:pt idx="26">
                  <c:v>3.08</c:v>
                </c:pt>
                <c:pt idx="27">
                  <c:v>3.13</c:v>
                </c:pt>
                <c:pt idx="28">
                  <c:v>3.18</c:v>
                </c:pt>
                <c:pt idx="29">
                  <c:v>3.18</c:v>
                </c:pt>
                <c:pt idx="30">
                  <c:v>3.23</c:v>
                </c:pt>
                <c:pt idx="31">
                  <c:v>3.23</c:v>
                </c:pt>
                <c:pt idx="32">
                  <c:v>3.25</c:v>
                </c:pt>
                <c:pt idx="33">
                  <c:v>3.25</c:v>
                </c:pt>
                <c:pt idx="34">
                  <c:v>3.25</c:v>
                </c:pt>
                <c:pt idx="35">
                  <c:v>3.28</c:v>
                </c:pt>
                <c:pt idx="36">
                  <c:v>3.33</c:v>
                </c:pt>
                <c:pt idx="37">
                  <c:v>3.38</c:v>
                </c:pt>
                <c:pt idx="38">
                  <c:v>3.43</c:v>
                </c:pt>
                <c:pt idx="39">
                  <c:v>3.83</c:v>
                </c:pt>
              </c:numCache>
            </c:numRef>
          </c:val>
          <c:extLst>
            <c:ext xmlns:c16="http://schemas.microsoft.com/office/drawing/2014/chart" uri="{C3380CC4-5D6E-409C-BE32-E72D297353CC}">
              <c16:uniqueId val="{00000000-1396-44DC-B3D2-FE9008239EB8}"/>
            </c:ext>
          </c:extLst>
        </c:ser>
        <c:ser>
          <c:idx val="1"/>
          <c:order val="1"/>
          <c:tx>
            <c:strRef>
              <c:f>Means!$D$47</c:f>
              <c:strCache>
                <c:ptCount val="1"/>
                <c:pt idx="0">
                  <c:v>Application Mean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Means!$B$48:$B$87</c:f>
              <c:strCache>
                <c:ptCount val="40"/>
                <c:pt idx="0">
                  <c:v> History of VR and tribal VR</c:v>
                </c:pt>
                <c:pt idx="1">
                  <c:v>Conducting a vocational assessment</c:v>
                </c:pt>
                <c:pt idx="2">
                  <c:v>Providing traditional healing services</c:v>
                </c:pt>
                <c:pt idx="3">
                  <c:v>Supported employment</c:v>
                </c:pt>
                <c:pt idx="4">
                  <c:v>Assistive technology</c:v>
                </c:pt>
                <c:pt idx="5">
                  <c:v> Accessing and using labor market information</c:v>
                </c:pt>
                <c:pt idx="6">
                  <c:v>Job placement strategies</c:v>
                </c:pt>
                <c:pt idx="7">
                  <c:v>Vocational implications of various disabilities</c:v>
                </c:pt>
                <c:pt idx="8">
                  <c:v>VR laws and regulations</c:v>
                </c:pt>
                <c:pt idx="9">
                  <c:v>Medical aspects of various disabilities</c:v>
                </c:pt>
                <c:pt idx="10">
                  <c:v>Types of diagnostic tools to document disability</c:v>
                </c:pt>
                <c:pt idx="11">
                  <c:v>Using disability documentation to prepare an eligibility statement</c:v>
                </c:pt>
                <c:pt idx="12">
                  <c:v>Post-employment services</c:v>
                </c:pt>
                <c:pt idx="13">
                  <c:v>Exploring comparable services and benefits</c:v>
                </c:pt>
                <c:pt idx="14">
                  <c:v>Providing VR services under the IPE using appropriate cultural protocols</c:v>
                </c:pt>
                <c:pt idx="15">
                  <c:v>Determining consumer job readiness</c:v>
                </c:pt>
                <c:pt idx="16">
                  <c:v> Psychosocial impacts of disability</c:v>
                </c:pt>
                <c:pt idx="17">
                  <c:v>Identifying required services to obtain the vocational goal</c:v>
                </c:pt>
                <c:pt idx="18">
                  <c:v>Communicating with employers</c:v>
                </c:pt>
                <c:pt idx="19">
                  <c:v>On-the-job training</c:v>
                </c:pt>
                <c:pt idx="20">
                  <c:v>Types of case closure and documentation</c:v>
                </c:pt>
                <c:pt idx="21">
                  <c:v>Caseload data gathering</c:v>
                </c:pt>
                <c:pt idx="22">
                  <c:v>Cultural perception of disability</c:v>
                </c:pt>
                <c:pt idx="23">
                  <c:v>Partnering with the consumer to create the IPE</c:v>
                </c:pt>
                <c:pt idx="24">
                  <c:v>Advocating for VR with other departments, programs, and tribal council</c:v>
                </c:pt>
                <c:pt idx="25">
                  <c:v>Helping the consumer to identify a vocational goal</c:v>
                </c:pt>
                <c:pt idx="26">
                  <c:v> How "functional limitations" affect employment</c:v>
                </c:pt>
                <c:pt idx="27">
                  <c:v> Basic VR terms</c:v>
                </c:pt>
                <c:pt idx="28">
                  <c:v>Monitoring consumer progress in the IPE</c:v>
                </c:pt>
                <c:pt idx="29">
                  <c:v>Job search skills and job development strategies</c:v>
                </c:pt>
                <c:pt idx="30">
                  <c:v>Concept of "barriers to employment"</c:v>
                </c:pt>
                <c:pt idx="31">
                  <c:v>Collaboration with other counselors and programs</c:v>
                </c:pt>
                <c:pt idx="32">
                  <c:v>TVR program policies and procedures</c:v>
                </c:pt>
                <c:pt idx="33">
                  <c:v>Required case documentation</c:v>
                </c:pt>
                <c:pt idx="34">
                  <c:v>Managing multiple cases</c:v>
                </c:pt>
                <c:pt idx="35">
                  <c:v>Rehabilitation counseling practices and active listening</c:v>
                </c:pt>
                <c:pt idx="36">
                  <c:v>Organization and time management</c:v>
                </c:pt>
                <c:pt idx="37">
                  <c:v>Required elements for TVR eligibility</c:v>
                </c:pt>
                <c:pt idx="38">
                  <c:v>Establishing rapport with consumers</c:v>
                </c:pt>
                <c:pt idx="39">
                  <c:v>Ethics and confidentiality</c:v>
                </c:pt>
              </c:strCache>
            </c:strRef>
          </c:cat>
          <c:val>
            <c:numRef>
              <c:f>Means!$D$48:$D$87</c:f>
              <c:numCache>
                <c:formatCode>###0.00</c:formatCode>
                <c:ptCount val="40"/>
                <c:pt idx="0">
                  <c:v>2.6999999999999993</c:v>
                </c:pt>
                <c:pt idx="1">
                  <c:v>2.7249999999999992</c:v>
                </c:pt>
                <c:pt idx="2">
                  <c:v>2.5249999999999999</c:v>
                </c:pt>
                <c:pt idx="3">
                  <c:v>2.5999999999999988</c:v>
                </c:pt>
                <c:pt idx="4">
                  <c:v>2.8249999999999993</c:v>
                </c:pt>
                <c:pt idx="5">
                  <c:v>2.774999999999999</c:v>
                </c:pt>
                <c:pt idx="6">
                  <c:v>3.0249999999999995</c:v>
                </c:pt>
                <c:pt idx="7">
                  <c:v>3.7</c:v>
                </c:pt>
                <c:pt idx="8">
                  <c:v>3.4750000000000001</c:v>
                </c:pt>
                <c:pt idx="9">
                  <c:v>3.7250000000000001</c:v>
                </c:pt>
                <c:pt idx="10">
                  <c:v>3.4249999999999994</c:v>
                </c:pt>
                <c:pt idx="11">
                  <c:v>3.5750000000000006</c:v>
                </c:pt>
                <c:pt idx="12">
                  <c:v>2.8249999999999988</c:v>
                </c:pt>
                <c:pt idx="13">
                  <c:v>3.2499999999999996</c:v>
                </c:pt>
                <c:pt idx="14">
                  <c:v>3.2</c:v>
                </c:pt>
                <c:pt idx="15">
                  <c:v>3.2250000000000001</c:v>
                </c:pt>
                <c:pt idx="16">
                  <c:v>3.5250000000000012</c:v>
                </c:pt>
                <c:pt idx="17">
                  <c:v>3.2500000000000004</c:v>
                </c:pt>
                <c:pt idx="18">
                  <c:v>3</c:v>
                </c:pt>
                <c:pt idx="19">
                  <c:v>2.7750000000000004</c:v>
                </c:pt>
                <c:pt idx="20">
                  <c:v>3.3000000000000003</c:v>
                </c:pt>
                <c:pt idx="21">
                  <c:v>3.4000000000000004</c:v>
                </c:pt>
                <c:pt idx="22">
                  <c:v>3.5500000000000007</c:v>
                </c:pt>
                <c:pt idx="23">
                  <c:v>3.3250000000000006</c:v>
                </c:pt>
                <c:pt idx="24">
                  <c:v>3.1250000000000004</c:v>
                </c:pt>
                <c:pt idx="25">
                  <c:v>3.3250000000000006</c:v>
                </c:pt>
                <c:pt idx="26">
                  <c:v>3.6</c:v>
                </c:pt>
                <c:pt idx="27">
                  <c:v>4.3</c:v>
                </c:pt>
                <c:pt idx="28">
                  <c:v>3.3249999999999997</c:v>
                </c:pt>
                <c:pt idx="29">
                  <c:v>3.3500000000000005</c:v>
                </c:pt>
                <c:pt idx="30">
                  <c:v>3.8750000000000009</c:v>
                </c:pt>
                <c:pt idx="31">
                  <c:v>3.8250000000000006</c:v>
                </c:pt>
                <c:pt idx="32">
                  <c:v>4.0999999999999996</c:v>
                </c:pt>
                <c:pt idx="33">
                  <c:v>4.1499999999999995</c:v>
                </c:pt>
                <c:pt idx="34">
                  <c:v>4.1000000000000014</c:v>
                </c:pt>
                <c:pt idx="35">
                  <c:v>4.0500000000000007</c:v>
                </c:pt>
                <c:pt idx="36">
                  <c:v>4.0750000000000002</c:v>
                </c:pt>
                <c:pt idx="37">
                  <c:v>4</c:v>
                </c:pt>
                <c:pt idx="38">
                  <c:v>4.1000000000000005</c:v>
                </c:pt>
                <c:pt idx="39">
                  <c:v>4.424999999999998</c:v>
                </c:pt>
              </c:numCache>
            </c:numRef>
          </c:val>
          <c:extLst>
            <c:ext xmlns:c16="http://schemas.microsoft.com/office/drawing/2014/chart" uri="{C3380CC4-5D6E-409C-BE32-E72D297353CC}">
              <c16:uniqueId val="{00000001-1396-44DC-B3D2-FE9008239EB8}"/>
            </c:ext>
          </c:extLst>
        </c:ser>
        <c:dLbls>
          <c:dLblPos val="outEnd"/>
          <c:showLegendKey val="0"/>
          <c:showVal val="1"/>
          <c:showCatName val="0"/>
          <c:showSerName val="0"/>
          <c:showPercent val="0"/>
          <c:showBubbleSize val="0"/>
        </c:dLbls>
        <c:gapWidth val="182"/>
        <c:axId val="463770968"/>
        <c:axId val="463771296"/>
      </c:barChart>
      <c:catAx>
        <c:axId val="463770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63771296"/>
        <c:crosses val="autoZero"/>
        <c:auto val="1"/>
        <c:lblAlgn val="ctr"/>
        <c:lblOffset val="100"/>
        <c:noMultiLvlLbl val="0"/>
      </c:catAx>
      <c:valAx>
        <c:axId val="463771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770968"/>
        <c:crosses val="autoZero"/>
        <c:crossBetween val="between"/>
      </c:valAx>
      <c:spPr>
        <a:noFill/>
        <a:ln>
          <a:noFill/>
        </a:ln>
        <a:effectLst/>
      </c:spPr>
    </c:plotArea>
    <c:legend>
      <c:legendPos val="b"/>
      <c:layout>
        <c:manualLayout>
          <c:xMode val="edge"/>
          <c:yMode val="edge"/>
          <c:x val="1.5794013234743921E-2"/>
          <c:y val="0.96524594635333305"/>
          <c:w val="0.42107981954639451"/>
          <c:h val="2.563828336407812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81209-A48D-47DE-AFAA-B8ADF2DD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Header-Footer Template</Template>
  <TotalTime>153</TotalTime>
  <Pages>5</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LAFRANCE</dc:creator>
  <cp:keywords/>
  <dc:description/>
  <cp:lastModifiedBy>JOAN LAFRANCE</cp:lastModifiedBy>
  <cp:revision>2</cp:revision>
  <dcterms:created xsi:type="dcterms:W3CDTF">2017-06-05T22:07:00Z</dcterms:created>
  <dcterms:modified xsi:type="dcterms:W3CDTF">2017-06-06T00:45:00Z</dcterms:modified>
</cp:coreProperties>
</file>